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97" w:rsidRPr="00A52B97" w:rsidRDefault="00A52B97" w:rsidP="00A52B97">
      <w:pPr>
        <w:pStyle w:val="2"/>
        <w:adjustRightInd w:val="0"/>
        <w:spacing w:line="480" w:lineRule="exact"/>
        <w:ind w:firstLine="0"/>
        <w:jc w:val="center"/>
        <w:rPr>
          <w:rFonts w:ascii="华文中宋" w:eastAsia="华文中宋" w:hAnsi="华文中宋" w:hint="eastAsia"/>
          <w:sz w:val="44"/>
          <w:szCs w:val="44"/>
        </w:rPr>
      </w:pPr>
      <w:bookmarkStart w:id="0" w:name="_GoBack"/>
      <w:r>
        <w:rPr>
          <w:rFonts w:ascii="华文中宋" w:eastAsia="华文中宋" w:hAnsi="华文中宋" w:hint="eastAsia"/>
          <w:sz w:val="44"/>
          <w:szCs w:val="44"/>
        </w:rPr>
        <w:t>统计数据质量核查的</w:t>
      </w:r>
      <w:r>
        <w:rPr>
          <w:rFonts w:ascii="华文中宋" w:eastAsia="华文中宋" w:hAnsi="华文中宋" w:hint="eastAsia"/>
          <w:sz w:val="44"/>
          <w:szCs w:val="44"/>
        </w:rPr>
        <w:t>主要内容</w:t>
      </w:r>
      <w:bookmarkEnd w:id="0"/>
    </w:p>
    <w:p w:rsidR="00A52B97" w:rsidRDefault="00A52B97" w:rsidP="00A52B97">
      <w:pPr>
        <w:pStyle w:val="2"/>
        <w:adjustRightInd w:val="0"/>
        <w:spacing w:line="480" w:lineRule="exact"/>
        <w:ind w:firstLine="0"/>
        <w:jc w:val="left"/>
        <w:rPr>
          <w:rFonts w:ascii="华文中宋" w:eastAsia="华文中宋" w:hAnsi="华文中宋"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1"/>
        <w:jc w:val="left"/>
        <w:rPr>
          <w:rFonts w:ascii="华文中宋" w:eastAsia="华文中宋" w:hAnsi="华文中宋" w:hint="eastAsia"/>
          <w:b/>
          <w:szCs w:val="32"/>
        </w:rPr>
      </w:pPr>
    </w:p>
    <w:p w:rsidR="00A52B97" w:rsidRPr="00A52B97" w:rsidRDefault="00A52B97" w:rsidP="00A52B97">
      <w:pPr>
        <w:pStyle w:val="2"/>
        <w:adjustRightInd w:val="0"/>
        <w:spacing w:line="480" w:lineRule="exact"/>
        <w:ind w:firstLineChars="200" w:firstLine="721"/>
        <w:jc w:val="left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一、</w:t>
      </w:r>
      <w:r>
        <w:rPr>
          <w:rFonts w:ascii="方正黑体_GBK" w:eastAsia="方正黑体_GBK" w:hAnsi="华文中宋" w:hint="eastAsia"/>
          <w:b/>
          <w:szCs w:val="32"/>
        </w:rPr>
        <w:t>核查要点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 xml:space="preserve">1. 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111</w:t>
      </w:r>
      <w:r>
        <w:rPr>
          <w:rFonts w:hint="eastAsia"/>
          <w:szCs w:val="32"/>
        </w:rPr>
        <w:t>表、</w:t>
      </w:r>
      <w:r>
        <w:rPr>
          <w:rFonts w:hint="eastAsia"/>
          <w:szCs w:val="32"/>
        </w:rPr>
        <w:t>112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）漏填（安全保卫人员、健康体能测试、在校生住宿生数、专业数、填表人等）；</w:t>
      </w:r>
      <w:r>
        <w:rPr>
          <w:rFonts w:hint="eastAsia"/>
          <w:szCs w:val="32"/>
        </w:rPr>
        <w:t xml:space="preserve"> 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）错填（有附属医院人员而无附属医院等）；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填项不全</w:t>
      </w:r>
      <w:proofErr w:type="gramEnd"/>
      <w:r>
        <w:rPr>
          <w:rFonts w:hint="eastAsia"/>
          <w:szCs w:val="32"/>
        </w:rPr>
        <w:t>（院系设置、专业设置）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）民办高校的长江学者、千人计划、院士、国家实验室等情况是否属实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312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）核查学生花名册；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）各项有无漏填；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）一年级在校生数应该大于或等于招生数，如小于，核查是否属实；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）毕业生数</w:t>
      </w:r>
      <w:proofErr w:type="gramStart"/>
      <w:r>
        <w:rPr>
          <w:rFonts w:hint="eastAsia"/>
          <w:szCs w:val="32"/>
        </w:rPr>
        <w:t>》</w:t>
      </w:r>
      <w:proofErr w:type="gramEnd"/>
      <w:r>
        <w:rPr>
          <w:rFonts w:hint="eastAsia"/>
          <w:szCs w:val="32"/>
        </w:rPr>
        <w:t>=</w:t>
      </w:r>
      <w:r>
        <w:rPr>
          <w:rFonts w:hint="eastAsia"/>
          <w:szCs w:val="32"/>
        </w:rPr>
        <w:t>授予学位数；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）应届毕业生数</w:t>
      </w:r>
      <w:r>
        <w:rPr>
          <w:rFonts w:hint="eastAsia"/>
          <w:szCs w:val="32"/>
        </w:rPr>
        <w:t>=</w:t>
      </w:r>
      <w:r>
        <w:rPr>
          <w:rFonts w:hint="eastAsia"/>
          <w:szCs w:val="32"/>
        </w:rPr>
        <w:t>招生数（无春季招生和预科生转入）；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）预计毕业生数</w:t>
      </w:r>
      <w:r>
        <w:rPr>
          <w:rFonts w:hint="eastAsia"/>
          <w:szCs w:val="32"/>
        </w:rPr>
        <w:t>=</w:t>
      </w:r>
      <w:r>
        <w:rPr>
          <w:rFonts w:hint="eastAsia"/>
          <w:szCs w:val="32"/>
        </w:rPr>
        <w:t>四年级及以上毕业生</w:t>
      </w:r>
      <w:r>
        <w:rPr>
          <w:rFonts w:hint="eastAsia"/>
          <w:szCs w:val="32"/>
        </w:rPr>
        <w:t>=</w:t>
      </w:r>
      <w:r>
        <w:rPr>
          <w:rFonts w:hint="eastAsia"/>
          <w:szCs w:val="32"/>
        </w:rPr>
        <w:t>高中起点本科</w:t>
      </w:r>
      <w:r>
        <w:rPr>
          <w:rFonts w:hint="eastAsia"/>
          <w:szCs w:val="32"/>
        </w:rPr>
        <w:t>+</w:t>
      </w:r>
      <w:proofErr w:type="gramStart"/>
      <w:r>
        <w:rPr>
          <w:rFonts w:hint="eastAsia"/>
          <w:szCs w:val="32"/>
        </w:rPr>
        <w:t>专转本</w:t>
      </w:r>
      <w:proofErr w:type="gramEnd"/>
      <w:r>
        <w:rPr>
          <w:rFonts w:hint="eastAsia"/>
          <w:szCs w:val="32"/>
        </w:rPr>
        <w:t>学生；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专转本</w:t>
      </w:r>
      <w:proofErr w:type="gramEnd"/>
      <w:r>
        <w:rPr>
          <w:rFonts w:hint="eastAsia"/>
          <w:szCs w:val="32"/>
        </w:rPr>
        <w:t>学生应填在一年级、二年级；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）应届毕业生数</w:t>
      </w:r>
      <w:r>
        <w:rPr>
          <w:rFonts w:hint="eastAsia"/>
          <w:szCs w:val="32"/>
        </w:rPr>
        <w:t>=</w:t>
      </w:r>
      <w:r>
        <w:rPr>
          <w:rFonts w:hint="eastAsia"/>
          <w:szCs w:val="32"/>
        </w:rPr>
        <w:t>普通本科生毕业生数（</w:t>
      </w:r>
      <w:proofErr w:type="gramStart"/>
      <w:r>
        <w:rPr>
          <w:rFonts w:hint="eastAsia"/>
          <w:szCs w:val="32"/>
        </w:rPr>
        <w:t>专转本</w:t>
      </w:r>
      <w:proofErr w:type="gramEnd"/>
      <w:r>
        <w:rPr>
          <w:rFonts w:hint="eastAsia"/>
          <w:szCs w:val="32"/>
        </w:rPr>
        <w:t>毕业生的应届毕业为零）；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）有专业数，一般应有招生数，是否有例外；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）高中起点本科，年制一般应有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年以上，是否有例外；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）授予学位数一般不应为</w:t>
      </w:r>
      <w:r>
        <w:rPr>
          <w:rFonts w:hint="eastAsia"/>
          <w:szCs w:val="32"/>
        </w:rPr>
        <w:t>0</w:t>
      </w:r>
      <w:r>
        <w:rPr>
          <w:rFonts w:hint="eastAsia"/>
          <w:szCs w:val="32"/>
        </w:rPr>
        <w:t>，核实；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）有招生数，一年级在校生数不应为</w:t>
      </w:r>
      <w:r>
        <w:rPr>
          <w:rFonts w:hint="eastAsia"/>
          <w:szCs w:val="32"/>
        </w:rPr>
        <w:t>0</w:t>
      </w:r>
      <w:r>
        <w:rPr>
          <w:rFonts w:hint="eastAsia"/>
          <w:szCs w:val="32"/>
        </w:rPr>
        <w:t>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lastRenderedPageBreak/>
        <w:t>3.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331</w:t>
      </w:r>
      <w:r>
        <w:rPr>
          <w:rFonts w:hint="eastAsia"/>
          <w:szCs w:val="32"/>
        </w:rPr>
        <w:t>表：复学、转入、结业、开除、死亡人数异常；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332</w:t>
      </w:r>
      <w:r>
        <w:rPr>
          <w:rFonts w:hint="eastAsia"/>
          <w:szCs w:val="32"/>
        </w:rPr>
        <w:t>表：各项因素异大；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411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）查看教职工花名册（主要核查专任教师、聘任教师）；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）专任教师和行政人员、教辅人员、工勤人员之间的差距是否过小；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）教辅人员和工勤人员是否漏填；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）聘请校外教师大于专任教师的情况是否属实；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421</w:t>
      </w:r>
      <w:r>
        <w:rPr>
          <w:rFonts w:hint="eastAsia"/>
          <w:szCs w:val="32"/>
        </w:rPr>
        <w:t>表：双师</w:t>
      </w:r>
      <w:proofErr w:type="gramStart"/>
      <w:r>
        <w:rPr>
          <w:rFonts w:hint="eastAsia"/>
          <w:szCs w:val="32"/>
        </w:rPr>
        <w:t>型漏填情况</w:t>
      </w:r>
      <w:proofErr w:type="gramEnd"/>
      <w:r>
        <w:rPr>
          <w:rFonts w:hint="eastAsia"/>
          <w:szCs w:val="32"/>
        </w:rPr>
        <w:t>是否属实；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7.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422</w:t>
      </w:r>
      <w:r>
        <w:rPr>
          <w:rFonts w:hint="eastAsia"/>
          <w:szCs w:val="32"/>
        </w:rPr>
        <w:t>表：查看博士、硕士的花名册；研究生学位教师。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8.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423</w:t>
      </w:r>
      <w:r>
        <w:rPr>
          <w:rFonts w:hint="eastAsia"/>
          <w:szCs w:val="32"/>
        </w:rPr>
        <w:t>表：低年龄高职称和高年龄低职称的情况是否属实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9.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424</w:t>
      </w:r>
      <w:r>
        <w:rPr>
          <w:rFonts w:hint="eastAsia"/>
          <w:szCs w:val="32"/>
        </w:rPr>
        <w:t>表：分学科专任教师数的花名册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10.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431</w:t>
      </w:r>
      <w:r>
        <w:rPr>
          <w:rFonts w:hint="eastAsia"/>
          <w:szCs w:val="32"/>
        </w:rPr>
        <w:t>表：增加、减少教师</w:t>
      </w:r>
      <w:proofErr w:type="gramStart"/>
      <w:r>
        <w:rPr>
          <w:rFonts w:hint="eastAsia"/>
          <w:szCs w:val="32"/>
        </w:rPr>
        <w:t>数异大</w:t>
      </w:r>
      <w:proofErr w:type="gramEnd"/>
      <w:r>
        <w:rPr>
          <w:rFonts w:hint="eastAsia"/>
          <w:szCs w:val="32"/>
        </w:rPr>
        <w:t>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11.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511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）实地查看各项建筑；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）核查土地证、房屋产权证等资料查看学校产权和非学校产权是否属实；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）核查独立使用和共同使用的校舍情况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）教学科研及辅助用房、行政办公用房、生活用房的差距过小；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12.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521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）核查图书馆馆藏记录，查看纸质图书、电子图书的台账、图书无新增的原因；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）电子图书计算机台数应大于教学用计算机台数；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）核对固定资产、教学仪器设备总值（固定资产总值应大于教学仪器设备总值）有关账目核实；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）当年新增教学仪器设备总值的台账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13.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522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）有校园网无校园网出口总带宽或网带宽过大（超过万）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）无</w:t>
      </w:r>
      <w:proofErr w:type="gramStart"/>
      <w:r>
        <w:rPr>
          <w:rFonts w:hint="eastAsia"/>
          <w:szCs w:val="32"/>
        </w:rPr>
        <w:t>上网门</w:t>
      </w:r>
      <w:proofErr w:type="gramEnd"/>
      <w:r>
        <w:rPr>
          <w:rFonts w:hint="eastAsia"/>
          <w:szCs w:val="32"/>
        </w:rPr>
        <w:t>课数或</w:t>
      </w:r>
      <w:proofErr w:type="gramStart"/>
      <w:r>
        <w:rPr>
          <w:rFonts w:hint="eastAsia"/>
          <w:szCs w:val="32"/>
        </w:rPr>
        <w:t>上网门</w:t>
      </w:r>
      <w:proofErr w:type="gramEnd"/>
      <w:r>
        <w:rPr>
          <w:rFonts w:hint="eastAsia"/>
          <w:szCs w:val="32"/>
        </w:rPr>
        <w:t>课数过大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）无管理信息系统数据总量是否属实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14.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921</w:t>
      </w:r>
      <w:r>
        <w:rPr>
          <w:rFonts w:hint="eastAsia"/>
          <w:szCs w:val="32"/>
        </w:rPr>
        <w:t>表：教学科研及辅助用房、行政办公用房、生活用房与</w:t>
      </w:r>
      <w:r>
        <w:rPr>
          <w:rFonts w:hint="eastAsia"/>
          <w:szCs w:val="32"/>
        </w:rPr>
        <w:t>521</w:t>
      </w:r>
      <w:r>
        <w:rPr>
          <w:rFonts w:hint="eastAsia"/>
          <w:szCs w:val="32"/>
        </w:rPr>
        <w:t>表是否一致；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15.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922</w:t>
      </w:r>
      <w:r>
        <w:rPr>
          <w:rFonts w:hint="eastAsia"/>
          <w:szCs w:val="32"/>
        </w:rPr>
        <w:t>表：核查土地使用证核实学校占地面积的真实性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16.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931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）核查辅导员花名册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）无研究生，也不应有研究生专职辅导员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）辅导员副处以上职务、副高以上职称、博士研究生学历以上人员过大是否属实；辅导员和学生比例是否超过</w:t>
      </w:r>
      <w:r>
        <w:rPr>
          <w:rFonts w:hint="eastAsia"/>
          <w:szCs w:val="32"/>
        </w:rPr>
        <w:t>200:1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17.</w:t>
      </w:r>
      <w:r>
        <w:rPr>
          <w:rFonts w:hint="eastAsia"/>
          <w:szCs w:val="32"/>
        </w:rPr>
        <w:t>高基</w:t>
      </w:r>
      <w:r>
        <w:rPr>
          <w:rFonts w:hint="eastAsia"/>
          <w:szCs w:val="32"/>
        </w:rPr>
        <w:t>932</w:t>
      </w:r>
      <w:r>
        <w:rPr>
          <w:rFonts w:hint="eastAsia"/>
          <w:szCs w:val="32"/>
        </w:rPr>
        <w:t>表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）心理咨询人员是否超过两名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）心理咨询</w:t>
      </w:r>
      <w:proofErr w:type="gramStart"/>
      <w:r>
        <w:rPr>
          <w:rFonts w:hint="eastAsia"/>
          <w:szCs w:val="32"/>
        </w:rPr>
        <w:t>人员副</w:t>
      </w:r>
      <w:proofErr w:type="gramEnd"/>
      <w:r>
        <w:rPr>
          <w:rFonts w:hint="eastAsia"/>
          <w:szCs w:val="32"/>
        </w:rPr>
        <w:t>高以上职称、博士研究生学历以上人员过大是否属实</w:t>
      </w:r>
    </w:p>
    <w:p w:rsidR="00A52B97" w:rsidRDefault="00A52B97" w:rsidP="00A52B97">
      <w:pPr>
        <w:pStyle w:val="2"/>
        <w:adjustRightInd w:val="0"/>
        <w:spacing w:line="480" w:lineRule="exact"/>
        <w:ind w:firstLineChars="200" w:firstLine="640"/>
        <w:jc w:val="left"/>
        <w:rPr>
          <w:rFonts w:hint="eastAsia"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</w:p>
    <w:p w:rsidR="00A52B97" w:rsidRDefault="00A52B97" w:rsidP="00A52B97">
      <w:pPr>
        <w:pStyle w:val="2"/>
        <w:adjustRightInd w:val="0"/>
        <w:spacing w:line="480" w:lineRule="exact"/>
        <w:ind w:firstLineChars="200" w:firstLine="643"/>
        <w:jc w:val="left"/>
        <w:rPr>
          <w:rFonts w:hint="eastAsia"/>
          <w:b/>
          <w:szCs w:val="32"/>
        </w:rPr>
      </w:pPr>
      <w:r>
        <w:rPr>
          <w:rFonts w:hint="eastAsia"/>
          <w:b/>
          <w:szCs w:val="32"/>
        </w:rPr>
        <w:lastRenderedPageBreak/>
        <w:t>二、</w:t>
      </w:r>
      <w:r>
        <w:rPr>
          <w:rFonts w:hint="eastAsia"/>
          <w:b/>
          <w:szCs w:val="32"/>
        </w:rPr>
        <w:t>数据合理性及达标情况审核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1404"/>
        <w:gridCol w:w="3287"/>
        <w:gridCol w:w="1618"/>
        <w:gridCol w:w="1684"/>
      </w:tblGrid>
      <w:tr w:rsidR="00A52B97" w:rsidTr="00830CF3">
        <w:tc>
          <w:tcPr>
            <w:tcW w:w="868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表号</w:t>
            </w:r>
          </w:p>
        </w:tc>
        <w:tc>
          <w:tcPr>
            <w:tcW w:w="1404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表名</w:t>
            </w:r>
          </w:p>
        </w:tc>
        <w:tc>
          <w:tcPr>
            <w:tcW w:w="3287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重点审核内容</w:t>
            </w:r>
          </w:p>
        </w:tc>
        <w:tc>
          <w:tcPr>
            <w:tcW w:w="1618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参照指标</w:t>
            </w:r>
          </w:p>
        </w:tc>
        <w:tc>
          <w:tcPr>
            <w:tcW w:w="1684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指标来源</w:t>
            </w: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高基111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学校（机构）基本情况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系统中自带“学校地址代码、驻地城乡类别”，而生成打印件此项为空，可对照系统，手工填入。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高基112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学校（机构）基本情况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部分独立学院与母体校共享安全保卫人员，也应填入相应数据，为0不合理。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在编保卫人员按照不低于在校师生总人数的1‰配备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《高校“江苏省平安校园”创建考核验收细则》</w:t>
            </w:r>
          </w:p>
        </w:tc>
      </w:tr>
      <w:tr w:rsidR="00A52B97" w:rsidTr="00830CF3">
        <w:tc>
          <w:tcPr>
            <w:tcW w:w="868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“校园网”非学校网站，而是指基于硬件基础上的校园网络系统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  <w:vMerge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省、部级研究（院、所、中心）、实验室，应有相应批文，据了解，独立学院、民办高校尚未设置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  <w:vMerge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无博士生就不应有博士后流动站、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二级学科点博士、硕士学位授权不应大于一级学科点博士、硕士学位授权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普通本专科毕业生一次就业率指截止8月31日的就业率，本科院校一般为80%多，专业院校一般为90%多，省招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就中心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有相应备案。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连续两年初次就业率低于60%的专业，应调减招生计划直至停招。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《江苏省教育厅关于全面提高高等学校人才培养质量的意见》</w:t>
            </w:r>
          </w:p>
        </w:tc>
      </w:tr>
      <w:tr w:rsidR="00A52B97" w:rsidTr="00830CF3">
        <w:trPr>
          <w:trHeight w:val="883"/>
        </w:trPr>
        <w:tc>
          <w:tcPr>
            <w:tcW w:w="868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国家学生体质健康标准测试达标情况应与“国家体质健康网”本校数据相一致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《教育部高校体质健康测试标准》</w:t>
            </w: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高基312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1.因一般高校在9月1日以后新生报到，所以学生数据的统计时点可推迟到9月30日。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2.学生表所有数据必须与“学籍学历信息管理平台系统”相对接。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3. 一年级在校生数大于、小于或等于招生数的情况均有可能存在，但均为极小差距，如一年级在校生数少量小于招生数，应是新生取得学籍后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又休学。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高基321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在校生分年龄情况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本科生检查小于17岁、大于26岁的人数是否合理，是否存在统计疏忽。</w:t>
            </w:r>
          </w:p>
        </w:tc>
        <w:tc>
          <w:tcPr>
            <w:tcW w:w="1618" w:type="dxa"/>
            <w:tcBorders>
              <w:bottom w:val="single" w:sz="4" w:space="0" w:color="000000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  <w:tcBorders>
              <w:top w:val="single" w:sz="4" w:space="0" w:color="auto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高基322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招生、在校生来源</w:t>
            </w:r>
          </w:p>
        </w:tc>
        <w:tc>
          <w:tcPr>
            <w:tcW w:w="3287" w:type="dxa"/>
            <w:tcBorders>
              <w:top w:val="single" w:sz="4" w:space="0" w:color="auto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按考籍统计</w:t>
            </w:r>
            <w:proofErr w:type="gramEnd"/>
          </w:p>
        </w:tc>
        <w:tc>
          <w:tcPr>
            <w:tcW w:w="1618" w:type="dxa"/>
            <w:tcBorders>
              <w:top w:val="single" w:sz="4" w:space="0" w:color="000000"/>
              <w:bottom w:val="single" w:sz="4" w:space="0" w:color="auto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高基331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学生变动情况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本表上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学年初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报表在校生数应与上年报表统一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高基341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在校生中其他情况（党派、港澳等）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1.共产党员情况与“全国党员管理信息系统（基层版）”相同时点的数据一致。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2.在校本专科生一般无民主党派。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3．港、澳、台学生数字是否属实或过大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高基411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教职工情况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1.外聘教师原则上不超过专任教师总数的1/4。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2.民办学校聘任的专职教师数量应当不少于其教师总数的1/3。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核算生师比、具有高级职务教师占专任教师的比例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1.《普通高等学校基本办学条件指标》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2.《中华人民共和国民办教育促进法实施条例》</w:t>
            </w: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高基421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专任教师、聘请校外教师岗位分类情况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1.“公共课基础课教师”与“专业课教师”的比例要与教学计划相应课程模块学分比例大致吻合。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2.应用型高校应有一定比例的“双师型”教师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高基422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专任教师、聘请校外教师学历（位）情况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核查低学历高职称教师（如专科正高职称是否为老专科生，退休返聘）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核查具有研究生学位教师占专任教师的比例（%）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《普通高等学校基本办学条件指标》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高基423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专任教师分年龄情况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核查低30岁以下年龄高职称和66岁以上高年龄低职称情况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高基424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分学科专任教师数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分学科专任教师数应与学校专业布局及各学科门类的专业数、学生数的相互比例大致吻合，如以工为主的院校，其工科专业教师相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对应占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比大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高基431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专任教师变动情况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上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学年初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报表专任教师数应与上年报表一致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高基441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专任教师接受培训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一般中级、初级职称教师接受培训较多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高基451表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研究生指导教师情况表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30岁以下指导教师是否过多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高基511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校舍情况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1.凡学校自身未获得产权的建筑，均应在非学校产权建筑面积填报。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2.校舍建筑面积增大或减少则521表固定资产总值相应增加或减少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3. 教学、科研仪器设备资产当年新增值应小于固定资产当年新增总值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核查生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均教学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行政用房、生均宿舍面积；生均室内运动场地面积0.3（㎡/生）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1.《普通高等学校基本办学条件指标》2.《普通高校体育场馆配备标准》（2005）</w:t>
            </w:r>
          </w:p>
        </w:tc>
      </w:tr>
      <w:tr w:rsidR="00A52B97" w:rsidTr="00830CF3">
        <w:trPr>
          <w:trHeight w:val="5386"/>
        </w:trPr>
        <w:tc>
          <w:tcPr>
            <w:tcW w:w="868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高基521</w:t>
            </w:r>
          </w:p>
        </w:tc>
        <w:tc>
          <w:tcPr>
            <w:tcW w:w="1404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资产情况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1.计算机总台数应大于教学用计算机台数。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2.教学科研仪器设备值中的信息化资产部分只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含服务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“教学和科研”的信息化资产。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3.信息化设备资产包括服务“行政、教学、科研”的信息化资产；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4.上学年度固定资产总值、信息化设备资产、其中软件之间存在包含关系。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5. 因统计口径的差异，教科研设备总值与“高等院校仪器设备管理系统”数据有差距，但应相差不大，可以解释。 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核查生均占地面积，生均图书、年进书量，百名学生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配教学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用计算机台数、配多媒体教室和语音室座位数，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生均教科研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仪器设备值、新增教学科研仪器设备所占比例。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2.生均室外运动场地面积4.7㎡/生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1.《普通高等学校基本办学条件指标》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2.《普通高校体育场馆配备标准》（2005）</w:t>
            </w:r>
          </w:p>
        </w:tc>
      </w:tr>
      <w:tr w:rsidR="00A52B97" w:rsidTr="00830CF3">
        <w:trPr>
          <w:trHeight w:val="2826"/>
        </w:trPr>
        <w:tc>
          <w:tcPr>
            <w:tcW w:w="868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高基522</w:t>
            </w:r>
          </w:p>
        </w:tc>
        <w:tc>
          <w:tcPr>
            <w:tcW w:w="1404" w:type="dxa"/>
            <w:vAlign w:val="center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信息化建设情况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1.“网络信息点数、校园网出口总带宽、电子邮件系统用户数、管理信息系统数据总量、数字资源量”等数据与学校建设规模、信息化条件相关，建议由现教中心、图书馆照实提供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2.112表中未建立校园网的学校，校园网出口总带宽等数据也应为“0”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高基921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民办高校、独立学院校舍权属情况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1. 应对照证件、按照房屋用途分项填报。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2.若511表无“非学校产权共同使用面积”，那么921表二、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三项之和应与高基521表非学校产权独立使用校舍面积相同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高基922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民办高校、独立学院校园占地权属情况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若521表无“非学校产权、共同使用面积”，则922表二、三项之和应与高基521表非学校产权独立使用占地面积相同。</w:t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</w:tr>
      <w:tr w:rsidR="00A52B97" w:rsidTr="00830CF3">
        <w:tc>
          <w:tcPr>
            <w:tcW w:w="86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高基931</w:t>
            </w:r>
          </w:p>
        </w:tc>
        <w:tc>
          <w:tcPr>
            <w:tcW w:w="140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专职辅导员分年龄、专业技术职务、学历情况</w:t>
            </w:r>
          </w:p>
        </w:tc>
        <w:tc>
          <w:tcPr>
            <w:tcW w:w="3287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研究生专职辅导员是指带研究生的辅导员，并不是学历为研究生的辅导员，没有研究生招生的院校此栏为空。</w:t>
            </w: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专职辅导员生师比200:1</w:t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《普通高等学校辅导员队伍建设规定》（中华人民共和国教育部第24号令，2006年）</w:t>
            </w:r>
          </w:p>
        </w:tc>
      </w:tr>
      <w:tr w:rsidR="00A52B97" w:rsidTr="00830CF3">
        <w:trPr>
          <w:trHeight w:val="1790"/>
        </w:trPr>
        <w:tc>
          <w:tcPr>
            <w:tcW w:w="868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高基932</w:t>
            </w:r>
          </w:p>
        </w:tc>
        <w:tc>
          <w:tcPr>
            <w:tcW w:w="1404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心理咨询工作人员情况</w:t>
            </w:r>
          </w:p>
        </w:tc>
        <w:tc>
          <w:tcPr>
            <w:tcW w:w="3287" w:type="dxa"/>
            <w:vMerge w:val="restart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专职心理咨询工作人员2人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ab/>
            </w:r>
          </w:p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《普通高等学校学生心理健康教育工作基本建设标准》（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教思政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厅〔2011〕1号）</w:t>
            </w:r>
          </w:p>
        </w:tc>
      </w:tr>
      <w:tr w:rsidR="00A52B97" w:rsidTr="00830CF3">
        <w:trPr>
          <w:trHeight w:val="1789"/>
        </w:trPr>
        <w:tc>
          <w:tcPr>
            <w:tcW w:w="868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404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3287" w:type="dxa"/>
            <w:vMerge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</w:p>
        </w:tc>
        <w:tc>
          <w:tcPr>
            <w:tcW w:w="1618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专职心理健康教师生师比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ab/>
              <w:t>≥3000-4000: 1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ab/>
            </w:r>
          </w:p>
        </w:tc>
        <w:tc>
          <w:tcPr>
            <w:tcW w:w="1684" w:type="dxa"/>
          </w:tcPr>
          <w:p w:rsidR="00A52B97" w:rsidRDefault="00A52B97" w:rsidP="00830CF3">
            <w:pPr>
              <w:autoSpaceDE w:val="0"/>
              <w:autoSpaceDN w:val="0"/>
              <w:adjustRightInd w:val="0"/>
              <w:spacing w:line="0" w:lineRule="atLeast"/>
              <w:rPr>
                <w:rFonts w:ascii="仿宋_GB2312" w:eastAsia="仿宋_GB2312" w:hAnsi="仿宋" w:cs="宋体" w:hint="eastAsia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《关于进一步加强江苏省大学生心理健康教育工作的若干意见》（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苏教学</w:t>
            </w:r>
            <w:proofErr w:type="gramEnd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〔2011〕8号）</w:t>
            </w:r>
          </w:p>
        </w:tc>
      </w:tr>
    </w:tbl>
    <w:p w:rsidR="00F0080A" w:rsidRDefault="00F0080A" w:rsidP="00A52B97"/>
    <w:sectPr w:rsidR="00F0080A" w:rsidSect="00A52B97">
      <w:footerReference w:type="default" r:id="rId7"/>
      <w:pgSz w:w="11906" w:h="16838"/>
      <w:pgMar w:top="1440" w:right="1800" w:bottom="1440" w:left="1800" w:header="851" w:footer="992" w:gutter="0"/>
      <w:pgNumType w:start="11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D5" w:rsidRDefault="003264D5" w:rsidP="00A52B97">
      <w:r>
        <w:separator/>
      </w:r>
    </w:p>
  </w:endnote>
  <w:endnote w:type="continuationSeparator" w:id="0">
    <w:p w:rsidR="003264D5" w:rsidRDefault="003264D5" w:rsidP="00A5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621279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4"/>
        <w:szCs w:val="24"/>
      </w:rPr>
    </w:sdtEndPr>
    <w:sdtContent>
      <w:p w:rsidR="00A52B97" w:rsidRPr="00A52B97" w:rsidRDefault="00A52B97">
        <w:pPr>
          <w:pStyle w:val="a4"/>
          <w:jc w:val="center"/>
          <w:rPr>
            <w:rFonts w:asciiTheme="minorEastAsia" w:eastAsiaTheme="minorEastAsia" w:hAnsiTheme="minorEastAsia"/>
            <w:sz w:val="24"/>
            <w:szCs w:val="24"/>
          </w:rPr>
        </w:pPr>
        <w:r w:rsidRPr="00A52B97">
          <w:rPr>
            <w:rFonts w:asciiTheme="minorEastAsia" w:eastAsiaTheme="minorEastAsia" w:hAnsiTheme="minorEastAsia" w:hint="eastAsia"/>
            <w:sz w:val="24"/>
            <w:szCs w:val="24"/>
          </w:rPr>
          <w:t>—</w:t>
        </w:r>
        <w:r w:rsidRPr="00A52B97"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 w:rsidRPr="00A52B97">
          <w:rPr>
            <w:rFonts w:asciiTheme="minorEastAsia" w:eastAsiaTheme="minorEastAsia" w:hAnsiTheme="minorEastAsia"/>
            <w:sz w:val="24"/>
            <w:szCs w:val="24"/>
          </w:rPr>
          <w:instrText>PAGE   \* MERGEFORMAT</w:instrText>
        </w:r>
        <w:r w:rsidRPr="00A52B97"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 w:rsidRPr="00A52B97">
          <w:rPr>
            <w:rFonts w:asciiTheme="minorEastAsia" w:eastAsiaTheme="minorEastAsia" w:hAnsiTheme="minorEastAsia"/>
            <w:noProof/>
            <w:sz w:val="24"/>
            <w:szCs w:val="24"/>
            <w:lang w:val="zh-CN"/>
          </w:rPr>
          <w:t>114</w:t>
        </w:r>
        <w:r w:rsidRPr="00A52B97"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  <w:r w:rsidRPr="00A52B97">
          <w:rPr>
            <w:rFonts w:asciiTheme="minorEastAsia" w:eastAsiaTheme="minorEastAsia" w:hAnsiTheme="minorEastAsia" w:hint="eastAsia"/>
            <w:sz w:val="24"/>
            <w:szCs w:val="24"/>
          </w:rPr>
          <w:t>—</w:t>
        </w:r>
      </w:p>
    </w:sdtContent>
  </w:sdt>
  <w:p w:rsidR="00A52B97" w:rsidRDefault="00A52B9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D5" w:rsidRDefault="003264D5" w:rsidP="00A52B97">
      <w:r>
        <w:separator/>
      </w:r>
    </w:p>
  </w:footnote>
  <w:footnote w:type="continuationSeparator" w:id="0">
    <w:p w:rsidR="003264D5" w:rsidRDefault="003264D5" w:rsidP="00A52B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97"/>
    <w:rsid w:val="003264D5"/>
    <w:rsid w:val="00A52B97"/>
    <w:rsid w:val="00F0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正文文本缩进 2 Char"/>
    <w:link w:val="2"/>
    <w:rsid w:val="00A52B97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Indent 2"/>
    <w:basedOn w:val="a"/>
    <w:link w:val="2Char"/>
    <w:rsid w:val="00A52B97"/>
    <w:pPr>
      <w:spacing w:line="540" w:lineRule="exact"/>
      <w:ind w:firstLine="630"/>
    </w:pPr>
    <w:rPr>
      <w:rFonts w:eastAsia="仿宋_GB2312"/>
      <w:sz w:val="32"/>
    </w:rPr>
  </w:style>
  <w:style w:type="character" w:customStyle="1" w:styleId="2Char1">
    <w:name w:val="正文文本缩进 2 Char1"/>
    <w:basedOn w:val="a0"/>
    <w:uiPriority w:val="99"/>
    <w:semiHidden/>
    <w:rsid w:val="00A52B97"/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A52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2B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2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2B9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正文文本缩进 2 Char"/>
    <w:link w:val="2"/>
    <w:rsid w:val="00A52B97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Indent 2"/>
    <w:basedOn w:val="a"/>
    <w:link w:val="2Char"/>
    <w:rsid w:val="00A52B97"/>
    <w:pPr>
      <w:spacing w:line="540" w:lineRule="exact"/>
      <w:ind w:firstLine="630"/>
    </w:pPr>
    <w:rPr>
      <w:rFonts w:eastAsia="仿宋_GB2312"/>
      <w:sz w:val="32"/>
    </w:rPr>
  </w:style>
  <w:style w:type="character" w:customStyle="1" w:styleId="2Char1">
    <w:name w:val="正文文本缩进 2 Char1"/>
    <w:basedOn w:val="a0"/>
    <w:uiPriority w:val="99"/>
    <w:semiHidden/>
    <w:rsid w:val="00A52B97"/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A52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2B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2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2B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579</Words>
  <Characters>3301</Characters>
  <Application>Microsoft Office Word</Application>
  <DocSecurity>0</DocSecurity>
  <Lines>27</Lines>
  <Paragraphs>7</Paragraphs>
  <ScaleCrop>false</ScaleCrop>
  <Company>nuaa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 zhang</dc:creator>
  <cp:lastModifiedBy>sh zhang</cp:lastModifiedBy>
  <cp:revision>1</cp:revision>
  <dcterms:created xsi:type="dcterms:W3CDTF">2017-10-17T05:04:00Z</dcterms:created>
  <dcterms:modified xsi:type="dcterms:W3CDTF">2017-10-17T05:09:00Z</dcterms:modified>
</cp:coreProperties>
</file>