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2BDDA1">
      <w:pPr>
        <w:widowControl w:val="0"/>
        <w:spacing w:line="560" w:lineRule="exact"/>
        <w:jc w:val="center"/>
        <w:rPr>
          <w:rFonts w:hint="eastAsia" w:ascii="微软雅黑" w:hAnsi="微软雅黑" w:eastAsia="微软雅黑" w:cs="等线"/>
          <w:b/>
          <w:bCs/>
          <w:kern w:val="2"/>
          <w:sz w:val="44"/>
          <w:szCs w:val="44"/>
          <w:lang w:val="en-US" w:eastAsia="zh-CN"/>
        </w:rPr>
      </w:pPr>
      <w:bookmarkStart w:id="1" w:name="_GoBack"/>
      <w:bookmarkEnd w:id="1"/>
      <w:r>
        <w:rPr>
          <w:rFonts w:hint="eastAsia" w:ascii="微软雅黑" w:hAnsi="微软雅黑" w:eastAsia="微软雅黑" w:cs="等线"/>
          <w:b/>
          <w:bCs/>
          <w:kern w:val="2"/>
          <w:sz w:val="44"/>
          <w:szCs w:val="44"/>
          <w:lang w:val="en-US" w:eastAsia="zh-CN"/>
        </w:rPr>
        <w:t>南京邮电大学2026年教职工体检须知</w:t>
      </w:r>
    </w:p>
    <w:p w14:paraId="10E23911">
      <w:pPr>
        <w:jc w:val="both"/>
        <w:rPr>
          <w:rFonts w:hint="eastAsia" w:ascii="微软雅黑" w:hAnsi="微软雅黑" w:eastAsia="微软雅黑" w:cs="黑体"/>
          <w:bCs/>
          <w:sz w:val="32"/>
          <w:szCs w:val="32"/>
          <w:lang w:val="en-US" w:eastAsia="zh-CN"/>
        </w:rPr>
      </w:pPr>
      <w:r>
        <w:rPr>
          <w:rFonts w:ascii="微软雅黑" w:hAnsi="微软雅黑" w:eastAsia="微软雅黑"/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212725</wp:posOffset>
                </wp:positionV>
                <wp:extent cx="6416675" cy="6985"/>
                <wp:effectExtent l="0" t="13970" r="3175" b="17145"/>
                <wp:wrapNone/>
                <wp:docPr id="41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16675" cy="698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A6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6" o:spid="_x0000_s1026" o:spt="20" style="position:absolute;left:0pt;flip:y;margin-left:0.9pt;margin-top:16.75pt;height:0.55pt;width:505.25pt;z-index:251662336;mso-width-relative:page;mso-height-relative:page;" filled="f" stroked="t" coordsize="21600,21600" o:gfxdata="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1deIf&#10;2AAAAAgBAAAPAAAAAAAAAAEAIAAAACIAAABkcnMvZG93bnJldi54bWxQSwECFAAUAAAACACHTuJA&#10;j+We6egBAACpAwAADgAAAAAAAAABACAAAAAnAQAAZHJzL2Uyb0RvYy54bWxQSwUGAAAAAAYABgBZ&#10;AQAAgQUAAAAA&#10;">
                <v:fill on="f" focussize="0,0"/>
                <v:stroke weight="2.25pt" color="#EA6000" joinstyle="round"/>
                <v:imagedata o:title=""/>
                <o:lock v:ext="edit" aspectratio="f"/>
              </v:line>
            </w:pict>
          </mc:Fallback>
        </mc:AlternateContent>
      </w:r>
    </w:p>
    <w:p w14:paraId="51B3F0E8">
      <w:pPr>
        <w:pStyle w:val="14"/>
        <w:numPr>
          <w:ilvl w:val="0"/>
          <w:numId w:val="1"/>
        </w:numPr>
        <w:spacing w:line="700" w:lineRule="exact"/>
        <w:ind w:firstLineChars="0"/>
        <w:rPr>
          <w:rFonts w:hint="eastAsia" w:ascii="微软雅黑" w:hAnsi="微软雅黑" w:eastAsia="微软雅黑" w:cs="思源黑体 CN Heavy"/>
          <w:b/>
          <w:color w:val="EA6000"/>
          <w:sz w:val="32"/>
          <w:szCs w:val="32"/>
        </w:rPr>
      </w:pPr>
      <w:r>
        <w:rPr>
          <w:rFonts w:hint="eastAsia" w:ascii="微软雅黑" w:hAnsi="微软雅黑" w:eastAsia="微软雅黑" w:cs="思源黑体 CN Heavy"/>
          <w:b/>
          <w:color w:val="EA6000"/>
          <w:sz w:val="32"/>
          <w:szCs w:val="32"/>
        </w:rPr>
        <w:t>增值服务：</w:t>
      </w:r>
    </w:p>
    <w:p w14:paraId="7F2DC2CD">
      <w:pPr>
        <w:pStyle w:val="14"/>
        <w:numPr>
          <w:ilvl w:val="1"/>
          <w:numId w:val="1"/>
        </w:numPr>
        <w:spacing w:line="700" w:lineRule="exact"/>
        <w:ind w:firstLineChars="0"/>
        <w:rPr>
          <w:rFonts w:hint="eastAsia" w:ascii="微软雅黑" w:hAnsi="微软雅黑" w:eastAsia="微软雅黑" w:cs="思源黑体 CN Heavy"/>
          <w:b/>
          <w:color w:val="EA6000"/>
          <w:sz w:val="28"/>
          <w:szCs w:val="28"/>
        </w:rPr>
      </w:pPr>
      <w:r>
        <w:rPr>
          <w:sz w:val="20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644525</wp:posOffset>
            </wp:positionV>
            <wp:extent cx="5772150" cy="2719070"/>
            <wp:effectExtent l="133350" t="76200" r="76200" b="138430"/>
            <wp:wrapTopAndBottom/>
            <wp:docPr id="5397977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79775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7190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思源黑体 CN Heavy"/>
          <w:b/>
          <w:color w:val="EA6000"/>
          <w:sz w:val="28"/>
          <w:szCs w:val="28"/>
        </w:rPr>
        <w:t>赠送百万医疗险</w:t>
      </w:r>
      <w:r>
        <w:rPr>
          <w:rFonts w:ascii="微软雅黑" w:hAnsi="微软雅黑" w:eastAsia="微软雅黑" w:cs="思源黑体 CN Heavy"/>
          <w:b/>
          <w:color w:val="EA6000"/>
          <w:sz w:val="28"/>
          <w:szCs w:val="28"/>
        </w:rPr>
        <w:t>—</w:t>
      </w:r>
      <w:r>
        <w:rPr>
          <w:rFonts w:hint="eastAsia" w:ascii="微软雅黑" w:hAnsi="微软雅黑" w:eastAsia="微软雅黑" w:cs="思源黑体 CN Heavy"/>
          <w:b/>
          <w:color w:val="EA6000"/>
          <w:sz w:val="28"/>
          <w:szCs w:val="28"/>
        </w:rPr>
        <w:t>在爱康做体检最高可获100万元医疗费用报销</w:t>
      </w:r>
      <w:r>
        <w:rPr>
          <w:rFonts w:hint="eastAsia" w:ascii="微软雅黑" w:hAnsi="微软雅黑" w:eastAsia="微软雅黑" w:cs="思源黑体 CN Heavy"/>
          <w:b/>
          <w:color w:val="EA6000"/>
          <w:sz w:val="32"/>
          <w:szCs w:val="32"/>
        </w:rPr>
        <w:t>；</w:t>
      </w:r>
    </w:p>
    <w:p w14:paraId="19974077">
      <w:pPr>
        <w:pStyle w:val="14"/>
        <w:numPr>
          <w:ilvl w:val="1"/>
          <w:numId w:val="1"/>
        </w:numPr>
        <w:spacing w:line="700" w:lineRule="exact"/>
        <w:ind w:firstLineChars="0"/>
        <w:rPr>
          <w:rFonts w:hint="eastAsia" w:ascii="微软雅黑" w:hAnsi="微软雅黑" w:eastAsia="微软雅黑" w:cs="思源黑体 CN Heavy"/>
          <w:b/>
          <w:color w:val="EA6000"/>
          <w:sz w:val="28"/>
          <w:szCs w:val="28"/>
        </w:rPr>
      </w:pPr>
      <w:r>
        <w:rPr>
          <w:rFonts w:hint="eastAsia" w:ascii="微软雅黑" w:hAnsi="微软雅黑" w:eastAsia="微软雅黑" w:cs="思源黑体 CN Heavy"/>
          <w:b/>
          <w:color w:val="EA6000"/>
          <w:sz w:val="28"/>
          <w:szCs w:val="28"/>
        </w:rPr>
        <w:t>再赠送同型半胱氨酸（限南京爱康体检教职工），临床意义：</w:t>
      </w:r>
    </w:p>
    <w:p w14:paraId="5A90D0CC">
      <w:pPr>
        <w:pStyle w:val="14"/>
        <w:numPr>
          <w:ilvl w:val="0"/>
          <w:numId w:val="2"/>
        </w:numPr>
        <w:spacing w:line="400" w:lineRule="exact"/>
        <w:ind w:firstLine="720" w:firstLineChars="0"/>
        <w:rPr>
          <w:rFonts w:hint="eastAsia" w:ascii="微软雅黑" w:hAnsi="微软雅黑" w:eastAsia="微软雅黑" w:cs="思源黑体 CN Heavy"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思源黑体 CN Heavy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  <w:t>心脑血管疾病风险评估</w:t>
      </w:r>
    </w:p>
    <w:p w14:paraId="00A70B76">
      <w:pPr>
        <w:pStyle w:val="14"/>
        <w:spacing w:line="400" w:lineRule="exact"/>
        <w:ind w:left="720" w:leftChars="300" w:firstLine="464" w:firstLineChars="211"/>
        <w:rPr>
          <w:rFonts w:hint="eastAsia" w:ascii="微软雅黑" w:hAnsi="微软雅黑" w:eastAsia="微软雅黑" w:cs="思源黑体 CN Heavy"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思源黑体 CN Heavy"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  <w:t>高同型半胱氨酸血症是独立的心血管危险因素，与冠心病、心肌梗死、脑卒中等密切相关。Hcy升高会加剧血管炎症和氧化应激，导致血管壁损伤。</w:t>
      </w:r>
    </w:p>
    <w:p w14:paraId="236F702E">
      <w:pPr>
        <w:pStyle w:val="14"/>
        <w:numPr>
          <w:ilvl w:val="0"/>
          <w:numId w:val="2"/>
        </w:numPr>
        <w:spacing w:line="400" w:lineRule="exact"/>
        <w:ind w:firstLine="720" w:firstLineChars="0"/>
        <w:rPr>
          <w:rFonts w:hint="eastAsia" w:ascii="微软雅黑" w:hAnsi="微软雅黑" w:eastAsia="微软雅黑" w:cs="思源黑体 CN Heavy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思源黑体 CN Heavy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  <w:t>维生素缺乏的诊断线索</w:t>
      </w:r>
    </w:p>
    <w:p w14:paraId="052F650A">
      <w:pPr>
        <w:pStyle w:val="14"/>
        <w:spacing w:line="400" w:lineRule="exact"/>
        <w:ind w:left="720" w:leftChars="300" w:firstLine="464" w:firstLineChars="211"/>
        <w:rPr>
          <w:rFonts w:hint="eastAsia" w:ascii="微软雅黑" w:hAnsi="微软雅黑" w:eastAsia="微软雅黑" w:cs="思源黑体 CN Heavy"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思源黑体 CN Heavy"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  <w:t>叶酸、维生素B12或B6缺乏会直接影响Hcy代谢。通过检测Hcy水平，可间接评估这些维生素的储备情况，尤其适用于贫血、营养不良或消化吸收障碍患者。</w:t>
      </w:r>
    </w:p>
    <w:p w14:paraId="0643E4D3">
      <w:pPr>
        <w:pStyle w:val="14"/>
        <w:numPr>
          <w:ilvl w:val="0"/>
          <w:numId w:val="2"/>
        </w:numPr>
        <w:spacing w:line="400" w:lineRule="exact"/>
        <w:ind w:firstLine="720" w:firstLineChars="0"/>
        <w:rPr>
          <w:rFonts w:hint="eastAsia" w:ascii="微软雅黑" w:hAnsi="微软雅黑" w:eastAsia="微软雅黑" w:cs="思源黑体 CN Heavy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思源黑体 CN Heavy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  <w:t>慢性肾脏病监测</w:t>
      </w:r>
    </w:p>
    <w:p w14:paraId="75AE269D">
      <w:pPr>
        <w:pStyle w:val="14"/>
        <w:spacing w:line="400" w:lineRule="exact"/>
        <w:ind w:left="720" w:leftChars="300" w:firstLine="464" w:firstLineChars="211"/>
        <w:rPr>
          <w:rFonts w:hint="eastAsia" w:ascii="微软雅黑" w:hAnsi="微软雅黑" w:eastAsia="微软雅黑" w:cs="思源黑体 CN Heavy"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思源黑体 CN Heavy"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  <w:t>肾功能不全时，Hcy排泄减少，导致血液浓度升高。检测Hcy可辅助评估肾脏功能及并发症风险。</w:t>
      </w:r>
    </w:p>
    <w:p w14:paraId="350C40D2">
      <w:pPr>
        <w:pStyle w:val="14"/>
        <w:numPr>
          <w:ilvl w:val="0"/>
          <w:numId w:val="2"/>
        </w:numPr>
        <w:spacing w:line="400" w:lineRule="exact"/>
        <w:ind w:firstLine="720" w:firstLineChars="0"/>
        <w:rPr>
          <w:rFonts w:hint="eastAsia" w:ascii="微软雅黑" w:hAnsi="微软雅黑" w:eastAsia="微软雅黑" w:cs="思源黑体 CN Heavy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思源黑体 CN Heavy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  <w:t>H型高血压的识别</w:t>
      </w:r>
    </w:p>
    <w:p w14:paraId="321F8A30">
      <w:pPr>
        <w:pStyle w:val="14"/>
        <w:spacing w:line="400" w:lineRule="exact"/>
        <w:ind w:left="720" w:leftChars="300" w:firstLine="464" w:firstLineChars="211"/>
        <w:rPr>
          <w:rFonts w:hint="eastAsia" w:ascii="微软雅黑" w:hAnsi="微软雅黑" w:eastAsia="微软雅黑" w:cs="思源黑体 CN Heavy"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思源黑体 CN Heavy"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  <w:t>高血压合并Hcy升高（≥10 μmol/L）称为H型高血压，这类患者脑卒中风险显著增加，需针对性治疗（如补充叶酸联合降压）。</w:t>
      </w:r>
    </w:p>
    <w:p w14:paraId="7F051B5D">
      <w:pPr>
        <w:rPr>
          <w:rFonts w:hint="eastAsia" w:ascii="微软雅黑" w:hAnsi="微软雅黑" w:eastAsia="微软雅黑" w:cs="思源黑体 CN Heavy"/>
          <w:bCs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思源黑体 CN Heavy"/>
          <w:bCs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  <w:br w:type="page"/>
      </w:r>
    </w:p>
    <w:p w14:paraId="01F7CD61">
      <w:pPr>
        <w:pStyle w:val="14"/>
        <w:numPr>
          <w:ilvl w:val="0"/>
          <w:numId w:val="1"/>
        </w:numPr>
        <w:spacing w:line="700" w:lineRule="exact"/>
        <w:ind w:firstLineChars="0"/>
        <w:rPr>
          <w:rFonts w:hint="eastAsia" w:ascii="微软雅黑" w:hAnsi="微软雅黑" w:eastAsia="微软雅黑" w:cs="思源黑体 CN Heavy"/>
          <w:b/>
          <w:color w:val="EA6000"/>
          <w:sz w:val="32"/>
          <w:szCs w:val="32"/>
        </w:rPr>
      </w:pPr>
      <w:r>
        <w:rPr>
          <w:rFonts w:hint="eastAsia" w:ascii="微软雅黑" w:hAnsi="微软雅黑" w:eastAsia="微软雅黑" w:cs="思源黑体 CN Heavy"/>
          <w:b/>
          <w:color w:val="EA6000"/>
          <w:sz w:val="32"/>
          <w:szCs w:val="32"/>
        </w:rPr>
        <w:t>2026年爱康体检服务及预约流程</w:t>
      </w:r>
    </w:p>
    <w:p w14:paraId="1A8EA8D4">
      <w:pPr>
        <w:numPr>
          <w:ilvl w:val="0"/>
          <w:numId w:val="3"/>
        </w:numPr>
        <w:spacing w:line="700" w:lineRule="exact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体检日期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202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年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月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日至0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val="en-US" w:eastAsia="zh-CN"/>
        </w:rPr>
        <w:t>9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月3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val="en-US" w:eastAsia="zh-CN"/>
        </w:rPr>
        <w:t>0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日；</w:t>
      </w:r>
    </w:p>
    <w:p w14:paraId="6DEF9565">
      <w:pPr>
        <w:spacing w:line="700" w:lineRule="exact"/>
        <w:ind w:left="420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（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  <w:lang w:eastAsia="zh-CN"/>
        </w:rPr>
        <w:t>*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法定节假日除外，具体时间详见线上可预约日期）</w:t>
      </w:r>
    </w:p>
    <w:p w14:paraId="1B43465E">
      <w:pPr>
        <w:numPr>
          <w:ilvl w:val="0"/>
          <w:numId w:val="4"/>
        </w:numPr>
        <w:spacing w:line="700" w:lineRule="exact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2"/>
          <w:lang w:eastAsia="zh-CN"/>
        </w:rPr>
        <w:t>体检时间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周二至周日上午7:30-10:30（空腹抽血截止时间为10：30）；</w:t>
      </w:r>
    </w:p>
    <w:p w14:paraId="7EEF5598">
      <w:pPr>
        <w:numPr>
          <w:ilvl w:val="0"/>
          <w:numId w:val="4"/>
        </w:numPr>
        <w:spacing w:line="700" w:lineRule="exact"/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胸部CT替代</w:t>
      </w:r>
      <w:r>
        <w:rPr>
          <w:rFonts w:hint="eastAsia" w:ascii="微软雅黑" w:hAnsi="微软雅黑" w:eastAsia="微软雅黑" w:cs="微软雅黑"/>
          <w:b/>
          <w:bCs/>
          <w:sz w:val="22"/>
          <w:szCs w:val="22"/>
          <w:lang w:eastAsia="zh-CN"/>
        </w:rPr>
        <w:t>项目：</w:t>
      </w:r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因部分老师可能放弃胸部CT检查，爱康体检</w:t>
      </w:r>
      <w:r>
        <w:rPr>
          <w:rFonts w:hint="eastAsia" w:ascii="微软雅黑" w:hAnsi="微软雅黑" w:eastAsia="微软雅黑" w:cs="微软雅黑"/>
          <w:b/>
          <w:bCs/>
          <w:sz w:val="22"/>
          <w:szCs w:val="22"/>
          <w:lang w:eastAsia="zh-CN"/>
        </w:rPr>
        <w:t>特增加3个备选项目（3选1，</w:t>
      </w:r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用于免费替代胸部CT：</w:t>
      </w:r>
    </w:p>
    <w:p w14:paraId="3EB39311">
      <w:pPr>
        <w:pStyle w:val="14"/>
        <w:ind w:left="420" w:firstLine="0" w:firstLineChars="0"/>
        <w:rPr>
          <w:rFonts w:hint="eastAsia" w:ascii="微软雅黑" w:hAnsi="微软雅黑" w:eastAsia="微软雅黑"/>
          <w:b/>
          <w:bCs/>
          <w:color w:val="333333"/>
          <w:sz w:val="22"/>
        </w:rPr>
      </w:pPr>
      <w:r>
        <w:rPr>
          <w:rFonts w:hint="eastAsia" w:ascii="微软雅黑" w:hAnsi="微软雅黑" w:eastAsia="微软雅黑"/>
          <w:b/>
          <w:bCs/>
          <w:color w:val="333333"/>
          <w:sz w:val="22"/>
        </w:rPr>
        <w:t xml:space="preserve">① </w:t>
      </w:r>
      <w:r>
        <w:fldChar w:fldCharType="begin"/>
      </w:r>
      <w:r>
        <w:instrText xml:space="preserve"> HYPERLINK "http://quotation.misnew.ikang.com/package/toSetMealPage?packageid=4748072&amp;status=view" </w:instrText>
      </w:r>
      <w:r>
        <w:fldChar w:fldCharType="separate"/>
      </w:r>
      <w:r>
        <w:rPr>
          <w:rFonts w:hint="eastAsia" w:ascii="微软雅黑" w:hAnsi="微软雅黑" w:eastAsia="微软雅黑" w:cs="Wingdings"/>
          <w:b/>
          <w:bCs/>
          <w:color w:val="000000" w:themeColor="text1"/>
          <w:sz w:val="22"/>
          <w:szCs w:val="24"/>
          <w:lang w:val="zh-CN"/>
          <w14:textFill>
            <w14:solidFill>
              <w14:schemeClr w14:val="tx1"/>
            </w14:solidFill>
          </w14:textFill>
        </w:rPr>
        <w:t>肝脏专项：早期肝细胞受损检测人细胞角蛋白18片段、</w:t>
      </w:r>
      <w:r>
        <w:rPr>
          <w:rFonts w:hint="eastAsia" w:ascii="微软雅黑" w:hAnsi="微软雅黑" w:eastAsia="微软雅黑" w:cs="Wingdings"/>
          <w:b/>
          <w:bCs/>
          <w:color w:val="EA6000"/>
          <w:sz w:val="22"/>
          <w:szCs w:val="24"/>
          <w:lang w:val="zh-CN"/>
        </w:rPr>
        <w:t>（碱性磷酸酶+血清蛋白四项</w:t>
      </w:r>
      <w:r>
        <w:rPr>
          <w:rFonts w:hint="eastAsia" w:ascii="微软雅黑" w:hAnsi="微软雅黑" w:eastAsia="微软雅黑" w:cs="Wingdings"/>
          <w:b/>
          <w:bCs/>
          <w:color w:val="EA6000"/>
          <w:sz w:val="22"/>
          <w:szCs w:val="24"/>
          <w:lang w:val="zh-CN"/>
        </w:rPr>
        <w:fldChar w:fldCharType="end"/>
      </w:r>
      <w:r>
        <w:rPr>
          <w:rFonts w:hint="eastAsia" w:ascii="微软雅黑" w:hAnsi="微软雅黑" w:eastAsia="微软雅黑" w:cs="Wingdings"/>
          <w:b/>
          <w:bCs/>
          <w:color w:val="EA6000"/>
          <w:sz w:val="22"/>
          <w:szCs w:val="24"/>
          <w:lang w:val="zh-CN"/>
        </w:rPr>
        <w:t>）2026年爱康新增</w:t>
      </w:r>
      <w:r>
        <w:rPr>
          <w:rFonts w:hint="eastAsia" w:ascii="微软雅黑" w:hAnsi="微软雅黑" w:eastAsia="微软雅黑"/>
          <w:b/>
          <w:bCs/>
          <w:color w:val="EE0000"/>
          <w:sz w:val="22"/>
        </w:rPr>
        <w:t>；</w:t>
      </w:r>
    </w:p>
    <w:p w14:paraId="0A1DCDEB">
      <w:pPr>
        <w:pStyle w:val="14"/>
        <w:ind w:left="420" w:firstLine="0" w:firstLineChars="0"/>
        <w:rPr>
          <w:rFonts w:hint="eastAsia" w:ascii="微软雅黑" w:hAnsi="微软雅黑" w:eastAsia="微软雅黑"/>
          <w:b/>
          <w:bCs/>
          <w:color w:val="333333"/>
          <w:sz w:val="22"/>
        </w:rPr>
      </w:pPr>
      <w:r>
        <w:rPr>
          <w:rFonts w:hint="eastAsia" w:ascii="微软雅黑" w:hAnsi="微软雅黑" w:eastAsia="微软雅黑"/>
          <w:b/>
          <w:bCs/>
          <w:color w:val="333333"/>
          <w:sz w:val="22"/>
        </w:rPr>
        <w:t xml:space="preserve">② </w:t>
      </w:r>
      <w:r>
        <w:fldChar w:fldCharType="begin"/>
      </w:r>
      <w:r>
        <w:instrText xml:space="preserve"> HYPERLINK "http://quotation.misnew.ikang.com/package/toSetMealPage?packageid=4748070&amp;status=view" </w:instrText>
      </w:r>
      <w:r>
        <w:fldChar w:fldCharType="separate"/>
      </w:r>
      <w:r>
        <w:rPr>
          <w:rFonts w:hint="eastAsia" w:ascii="微软雅黑" w:hAnsi="微软雅黑" w:eastAsia="微软雅黑"/>
          <w:b/>
          <w:bCs/>
          <w:color w:val="333333"/>
          <w:sz w:val="22"/>
        </w:rPr>
        <w:t>宫颈癌专项：HPV人乳头瘤病毒27种分型检测</w:t>
      </w:r>
      <w:r>
        <w:rPr>
          <w:rFonts w:hint="eastAsia" w:ascii="微软雅黑" w:hAnsi="微软雅黑" w:eastAsia="微软雅黑"/>
          <w:b/>
          <w:bCs/>
          <w:color w:val="333333"/>
          <w:sz w:val="22"/>
        </w:rPr>
        <w:fldChar w:fldCharType="end"/>
      </w:r>
      <w:r>
        <w:rPr>
          <w:rFonts w:hint="eastAsia" w:ascii="微软雅黑" w:hAnsi="微软雅黑" w:eastAsia="微软雅黑"/>
          <w:b/>
          <w:bCs/>
          <w:color w:val="333333"/>
          <w:sz w:val="22"/>
        </w:rPr>
        <w:t>；</w:t>
      </w:r>
    </w:p>
    <w:p w14:paraId="34716293">
      <w:pPr>
        <w:pStyle w:val="14"/>
        <w:ind w:left="420" w:firstLine="0" w:firstLineChars="0"/>
        <w:rPr>
          <w:rFonts w:hint="eastAsia" w:ascii="微软雅黑" w:hAnsi="微软雅黑" w:eastAsia="微软雅黑"/>
          <w:b/>
          <w:bCs/>
          <w:color w:val="333333"/>
          <w:sz w:val="22"/>
        </w:rPr>
      </w:pPr>
      <w:r>
        <w:rPr>
          <w:rFonts w:hint="eastAsia" w:ascii="微软雅黑" w:hAnsi="微软雅黑" w:eastAsia="微软雅黑"/>
          <w:b/>
          <w:bCs/>
          <w:color w:val="333333"/>
          <w:sz w:val="22"/>
        </w:rPr>
        <w:t xml:space="preserve">③ </w:t>
      </w:r>
      <w:r>
        <w:rPr>
          <w:rFonts w:hint="eastAsia" w:ascii="微软雅黑" w:hAnsi="微软雅黑" w:eastAsia="微软雅黑"/>
          <w:b/>
          <w:bCs/>
          <w:sz w:val="22"/>
        </w:rPr>
        <w:t>心血管专项：心无忧、颈动脉彩超。</w:t>
      </w:r>
    </w:p>
    <w:p w14:paraId="7CDF6FB3">
      <w:pPr>
        <w:spacing w:line="700" w:lineRule="exact"/>
        <w:ind w:left="420"/>
        <w:rPr>
          <w:rFonts w:hint="eastAsia" w:ascii="微软雅黑" w:hAnsi="微软雅黑" w:eastAsia="微软雅黑" w:cs="微软雅黑"/>
          <w:b/>
          <w:bCs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2"/>
          <w:lang w:eastAsia="zh-CN"/>
        </w:rPr>
        <w:t>注：</w:t>
      </w:r>
      <w:r>
        <w:rPr>
          <w:rFonts w:hint="eastAsia" w:ascii="微软雅黑" w:hAnsi="微软雅黑" w:eastAsia="微软雅黑" w:cs="Wingdings"/>
          <w:b/>
          <w:bCs/>
          <w:color w:val="EA6000"/>
          <w:kern w:val="2"/>
          <w:sz w:val="22"/>
          <w:lang w:eastAsia="zh-CN"/>
        </w:rPr>
        <w:t>如半年内做过胸部CT,或有备孕计划</w:t>
      </w:r>
      <w:r>
        <w:rPr>
          <w:rFonts w:hint="eastAsia" w:ascii="微软雅黑" w:hAnsi="微软雅黑" w:eastAsia="微软雅黑" w:cs="微软雅黑"/>
          <w:b/>
          <w:bCs/>
          <w:sz w:val="22"/>
          <w:szCs w:val="22"/>
          <w:lang w:eastAsia="zh-CN"/>
        </w:rPr>
        <w:t>，请勿选择胸部CT套餐，可任选其他套餐。</w:t>
      </w:r>
    </w:p>
    <w:p w14:paraId="22CD1F1D">
      <w:pPr>
        <w:spacing w:line="700" w:lineRule="exact"/>
        <w:ind w:left="420"/>
        <w:rPr>
          <w:rFonts w:hint="eastAsia" w:ascii="微软雅黑" w:hAnsi="微软雅黑" w:eastAsia="微软雅黑" w:cs="微软雅黑"/>
          <w:b/>
          <w:bCs/>
          <w:color w:val="EA6000"/>
          <w:u w:val="single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133350</wp:posOffset>
                </wp:positionV>
                <wp:extent cx="6156960" cy="845820"/>
                <wp:effectExtent l="0" t="0" r="15240" b="11430"/>
                <wp:wrapNone/>
                <wp:docPr id="796765012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6960" cy="845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6pt;margin-top:10.5pt;height:66.6pt;width:484.8pt;z-index:251664384;v-text-anchor:middle;mso-width-relative:page;mso-height-relative:page;" filled="f" stroked="t" coordsize="21600,21600" o:gfxdata="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EaGpw9UAAAAJAQAADwAAAAAAAAABACAAAAAiAAAAZHJzL2Rvd25yZXYueG1sUEsBAhQA&#10;FAAAAAgAh07iQLGrii9nAgAAvAQAAA4AAAAAAAAAAQAgAAAAJAEAAGRycy9lMm9Eb2MueG1sUEsF&#10;BgAAAAAGAAYAWQEAAP0FAAAAAA==&#10;">
                <v:fill on="f" focussize="0,0"/>
                <v:stroke weight="2pt" color="#F79646 [3209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lang w:eastAsia="zh-CN"/>
        </w:rPr>
        <w:t>特别说明：为了使老师体检过程更便捷，预约时只需勾选套餐，另，女性如不想做妇科可在婚否栏勾选未婚，反之勾选已婚。</w:t>
      </w:r>
    </w:p>
    <w:p w14:paraId="322F6364">
      <w:pPr>
        <w:numPr>
          <w:ilvl w:val="0"/>
          <w:numId w:val="4"/>
        </w:numPr>
        <w:spacing w:line="700" w:lineRule="exact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2"/>
          <w:lang w:eastAsia="zh-CN"/>
        </w:rPr>
        <w:t>预约方式：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在职职工及职工家属请线上预约，家属预约由职工代为预约，具体如下第（二）节预约方式，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val="en-US" w:eastAsia="zh-CN"/>
        </w:rPr>
        <w:t>体检预约需提前1至3个工作日。</w:t>
      </w:r>
    </w:p>
    <w:p w14:paraId="5F04D495">
      <w:pPr>
        <w:pStyle w:val="11"/>
        <w:spacing w:line="700" w:lineRule="exact"/>
        <w:ind w:left="480" w:leftChars="200" w:firstLine="0" w:firstLineChars="0"/>
        <w:rPr>
          <w:rFonts w:hint="eastAsia"/>
        </w:rPr>
      </w:pPr>
      <w:r>
        <w:rPr>
          <w:rFonts w:hint="eastAsia"/>
        </w:rPr>
        <w:t>特别说明：</w:t>
      </w:r>
    </w:p>
    <w:p w14:paraId="575C4F7D">
      <w:pPr>
        <w:pStyle w:val="11"/>
        <w:spacing w:line="700" w:lineRule="exact"/>
        <w:ind w:left="480" w:leftChars="200" w:firstLine="0" w:firstLineChars="0"/>
        <w:rPr>
          <w:rFonts w:hint="eastAsia"/>
        </w:rPr>
      </w:pPr>
      <w:r>
        <w:rPr>
          <w:rFonts w:hint="eastAsia"/>
        </w:rPr>
        <w:t>1、为节约您体检时间，</w:t>
      </w:r>
      <w:r>
        <w:rPr>
          <w:rFonts w:hint="eastAsia"/>
          <w:lang w:val="en-US"/>
        </w:rPr>
        <w:t>如需额外加项，</w:t>
      </w:r>
      <w:r>
        <w:rPr>
          <w:rFonts w:hint="eastAsia"/>
        </w:rPr>
        <w:t>请您在预约时线上勾选，费用在线/到店支付。</w:t>
      </w:r>
    </w:p>
    <w:p w14:paraId="0B6255D1">
      <w:pPr>
        <w:pStyle w:val="11"/>
        <w:spacing w:line="700" w:lineRule="exact"/>
        <w:ind w:left="480" w:leftChars="200" w:firstLine="0" w:firstLineChars="0"/>
        <w:rPr>
          <w:rFonts w:hint="eastAsia"/>
        </w:rPr>
      </w:pPr>
      <w:r>
        <w:rPr>
          <w:rFonts w:hint="eastAsia"/>
        </w:rPr>
        <w:t>2、体检当天，建议75岁以上/行动不便老师，需由家属陪同体检。</w:t>
      </w:r>
    </w:p>
    <w:p w14:paraId="5682D983">
      <w:pPr>
        <w:numPr>
          <w:ilvl w:val="0"/>
          <w:numId w:val="5"/>
        </w:numPr>
        <w:shd w:val="clear" w:color="auto" w:fill="FFFFFF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3688080</wp:posOffset>
            </wp:positionH>
            <wp:positionV relativeFrom="paragraph">
              <wp:posOffset>370840</wp:posOffset>
            </wp:positionV>
            <wp:extent cx="2430780" cy="2416175"/>
            <wp:effectExtent l="0" t="0" r="7620" b="3175"/>
            <wp:wrapSquare wrapText="bothSides"/>
            <wp:docPr id="10086307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63070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预约流程</w:t>
      </w:r>
    </w:p>
    <w:p w14:paraId="74DF6555">
      <w:pPr>
        <w:shd w:val="clear" w:color="auto" w:fill="FFFFFF"/>
        <w:jc w:val="both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A：专属二维码：手机微信选择“扫一扫”右侧二维码或长按识别二维码，进入预约页面；</w:t>
      </w:r>
    </w:p>
    <w:p w14:paraId="393F598D">
      <w:pPr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B：电脑端或者手机端打开以下网页链接，进入专属预约页面：</w:t>
      </w:r>
      <w:r>
        <w:rPr>
          <w:rFonts w:ascii="微软雅黑" w:hAnsi="微软雅黑" w:eastAsia="微软雅黑" w:cs="微软雅黑"/>
          <w:sz w:val="22"/>
          <w:szCs w:val="22"/>
          <w:lang w:eastAsia="zh-CN"/>
        </w:rPr>
        <w:t>njupt.ee.ikang.com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 xml:space="preserve"> </w:t>
      </w:r>
    </w:p>
    <w:p w14:paraId="4E5B50CF">
      <w:pPr>
        <w:rPr>
          <w:rFonts w:hint="eastAsia"/>
          <w:b/>
          <w:bCs/>
          <w:color w:val="2C2C2C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 xml:space="preserve">C: 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固话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预约：</w:t>
      </w:r>
      <w:r>
        <w:rPr>
          <w:rFonts w:hint="eastAsia"/>
          <w:b/>
          <w:bCs/>
          <w:color w:val="2C2C2C"/>
          <w:sz w:val="28"/>
          <w:szCs w:val="28"/>
          <w:lang w:eastAsia="zh-CN"/>
        </w:rPr>
        <w:t>025-86903177</w:t>
      </w:r>
      <w:r>
        <w:rPr>
          <w:rFonts w:hint="eastAsia"/>
          <w:b/>
          <w:bCs/>
          <w:color w:val="2C2C2C"/>
          <w:sz w:val="28"/>
          <w:szCs w:val="28"/>
          <w:lang w:val="en-US" w:eastAsia="zh-CN"/>
        </w:rPr>
        <w:t>或</w:t>
      </w:r>
      <w:r>
        <w:rPr>
          <w:rFonts w:hint="eastAsia"/>
          <w:b/>
          <w:bCs/>
          <w:color w:val="2C2C2C"/>
          <w:sz w:val="28"/>
          <w:szCs w:val="28"/>
          <w:lang w:eastAsia="zh-CN"/>
        </w:rPr>
        <w:t>025-86903191</w:t>
      </w:r>
      <w:r>
        <w:rPr>
          <w:rFonts w:hint="eastAsia"/>
          <w:b/>
          <w:bCs/>
          <w:color w:val="2C2C2C"/>
          <w:sz w:val="28"/>
          <w:szCs w:val="28"/>
          <w:lang w:val="en-US" w:eastAsia="zh-CN"/>
        </w:rPr>
        <w:t>或</w:t>
      </w:r>
      <w:r>
        <w:rPr>
          <w:rFonts w:hint="eastAsia"/>
          <w:b/>
          <w:bCs/>
          <w:color w:val="2C2C2C"/>
          <w:sz w:val="28"/>
          <w:szCs w:val="28"/>
          <w:lang w:eastAsia="zh-CN"/>
        </w:rPr>
        <w:t>025-86903187</w:t>
      </w:r>
    </w:p>
    <w:p w14:paraId="20380631">
      <w:pPr>
        <w:rPr>
          <w:rFonts w:hint="eastAsia"/>
          <w:b/>
          <w:bCs/>
          <w:color w:val="2C2C2C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手机号预约：</w:t>
      </w:r>
      <w:r>
        <w:rPr>
          <w:rFonts w:hint="eastAsia"/>
          <w:b/>
          <w:bCs/>
          <w:color w:val="2C2C2C"/>
          <w:sz w:val="28"/>
          <w:szCs w:val="28"/>
          <w:lang w:val="en-US" w:eastAsia="zh-CN"/>
        </w:rPr>
        <w:t>18061200322或</w:t>
      </w:r>
      <w:r>
        <w:rPr>
          <w:rFonts w:hint="eastAsia"/>
          <w:b/>
          <w:bCs/>
          <w:color w:val="2C2C2C"/>
          <w:sz w:val="28"/>
          <w:szCs w:val="28"/>
          <w:lang w:eastAsia="zh-CN"/>
        </w:rPr>
        <w:t>18105180602</w:t>
      </w:r>
    </w:p>
    <w:p w14:paraId="20525C58">
      <w:pPr>
        <w:rPr>
          <w:rFonts w:hint="eastAsia"/>
          <w:b/>
          <w:bCs/>
          <w:color w:val="2C2C2C"/>
          <w:sz w:val="28"/>
          <w:szCs w:val="28"/>
          <w:lang w:eastAsia="zh-CN"/>
        </w:rPr>
      </w:pPr>
    </w:p>
    <w:p w14:paraId="12AD6DF2">
      <w:pPr>
        <w:rPr>
          <w:rFonts w:hint="eastAsia" w:ascii="微软雅黑" w:hAnsi="微软雅黑" w:eastAsia="微软雅黑" w:cs="微软雅黑"/>
          <w:b/>
          <w:bCs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lang w:eastAsia="zh-CN"/>
        </w:rPr>
        <w:t>平台具体操作方式如下：</w:t>
      </w:r>
    </w:p>
    <w:p w14:paraId="225F8574">
      <w:pPr>
        <w:numPr>
          <w:ilvl w:val="0"/>
          <w:numId w:val="6"/>
        </w:numPr>
        <w:spacing w:line="500" w:lineRule="exact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lang w:eastAsia="zh-CN"/>
        </w:rPr>
        <w:t>第一步：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进入预约页面，点击图中</w:t>
      </w:r>
      <w:r>
        <w:rPr>
          <w:rFonts w:hint="eastAsia" w:ascii="微软雅黑" w:hAnsi="微软雅黑" w:eastAsia="微软雅黑" w:cs="微软雅黑"/>
          <w:color w:val="EA6000"/>
          <w:sz w:val="22"/>
          <w:szCs w:val="22"/>
          <w:u w:val="single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预约</w:t>
      </w:r>
      <w:r>
        <w:rPr>
          <w:rFonts w:hint="eastAsia" w:ascii="微软雅黑" w:hAnsi="微软雅黑" w:eastAsia="微软雅黑" w:cs="微软雅黑"/>
          <w:color w:val="EA6000"/>
          <w:sz w:val="22"/>
          <w:szCs w:val="22"/>
          <w:u w:val="single"/>
          <w:lang w:eastAsia="zh-CN"/>
        </w:rPr>
        <w:t>】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标识，进入信息填写页面，输入</w:t>
      </w:r>
      <w:r>
        <w:rPr>
          <w:rFonts w:hint="eastAsia" w:ascii="微软雅黑" w:hAnsi="微软雅黑" w:eastAsia="微软雅黑" w:cs="微软雅黑"/>
          <w:color w:val="EA6000"/>
          <w:sz w:val="22"/>
          <w:szCs w:val="22"/>
          <w:u w:val="single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体检者本人身份证号码</w:t>
      </w:r>
      <w:r>
        <w:rPr>
          <w:rFonts w:hint="eastAsia" w:ascii="微软雅黑" w:hAnsi="微软雅黑" w:eastAsia="微软雅黑" w:cs="微软雅黑"/>
          <w:color w:val="EA6000"/>
          <w:sz w:val="22"/>
          <w:szCs w:val="22"/>
          <w:u w:val="single"/>
          <w:lang w:eastAsia="zh-CN"/>
        </w:rPr>
        <w:t>】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及初始密码：</w:t>
      </w:r>
      <w:r>
        <w:rPr>
          <w:rFonts w:hint="eastAsia" w:ascii="微软雅黑" w:hAnsi="微软雅黑" w:eastAsia="微软雅黑" w:cs="微软雅黑"/>
          <w:color w:val="EA6000"/>
          <w:sz w:val="22"/>
          <w:szCs w:val="22"/>
          <w:u w:val="single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135246</w:t>
      </w:r>
      <w:r>
        <w:rPr>
          <w:rFonts w:hint="eastAsia" w:ascii="微软雅黑" w:hAnsi="微软雅黑" w:eastAsia="微软雅黑" w:cs="微软雅黑"/>
          <w:color w:val="EA6000"/>
          <w:sz w:val="22"/>
          <w:szCs w:val="22"/>
          <w:u w:val="single"/>
          <w:lang w:eastAsia="zh-CN"/>
        </w:rPr>
        <w:t>】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，点击</w:t>
      </w:r>
      <w:r>
        <w:rPr>
          <w:rFonts w:hint="eastAsia" w:ascii="微软雅黑" w:hAnsi="微软雅黑" w:eastAsia="微软雅黑" w:cs="微软雅黑"/>
          <w:color w:val="EA6000"/>
          <w:sz w:val="22"/>
          <w:szCs w:val="22"/>
          <w:u w:val="single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登录</w:t>
      </w:r>
      <w:r>
        <w:rPr>
          <w:rFonts w:hint="eastAsia" w:ascii="微软雅黑" w:hAnsi="微软雅黑" w:eastAsia="微软雅黑" w:cs="微软雅黑"/>
          <w:color w:val="EA6000"/>
          <w:sz w:val="22"/>
          <w:szCs w:val="22"/>
          <w:u w:val="single"/>
          <w:lang w:eastAsia="zh-CN"/>
        </w:rPr>
        <w:t>】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。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  <w:lang w:eastAsia="zh-CN"/>
        </w:rPr>
        <w:t>*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如跳出绑定手机页面，可选择【</w:t>
      </w:r>
      <w:r>
        <w:rPr>
          <w:rFonts w:hint="eastAsia" w:ascii="微软雅黑" w:hAnsi="微软雅黑" w:eastAsia="微软雅黑" w:cs="微软雅黑"/>
          <w:b/>
          <w:bCs/>
          <w:sz w:val="22"/>
          <w:szCs w:val="22"/>
          <w:lang w:eastAsia="zh-CN"/>
        </w:rPr>
        <w:t>跳过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】。</w:t>
      </w:r>
    </w:p>
    <w:p w14:paraId="458F70E2">
      <w:pPr>
        <w:spacing w:line="500" w:lineRule="exact"/>
        <w:ind w:left="420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</w:p>
    <w:p w14:paraId="2AEA5B5B">
      <w:pPr>
        <w:numPr>
          <w:ilvl w:val="0"/>
          <w:numId w:val="6"/>
        </w:numPr>
        <w:spacing w:line="500" w:lineRule="exact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lang w:eastAsia="zh-CN"/>
        </w:rPr>
        <w:t>第二步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：进入确认体检人信息页面，点击</w:t>
      </w:r>
      <w:bookmarkStart w:id="0" w:name="_Hlk97738958"/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【</w:t>
      </w:r>
      <w:bookmarkEnd w:id="0"/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下一步】可见体检套餐，</w:t>
      </w:r>
      <w:r>
        <w:rPr>
          <w:rFonts w:hint="eastAsia" w:ascii="微软雅黑" w:hAnsi="微软雅黑" w:eastAsia="微软雅黑" w:cs="微软雅黑"/>
          <w:color w:val="EA6000"/>
          <w:sz w:val="22"/>
          <w:szCs w:val="22"/>
          <w:u w:val="single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体检套餐</w:t>
      </w:r>
      <w:r>
        <w:rPr>
          <w:rFonts w:hint="eastAsia" w:ascii="微软雅黑" w:hAnsi="微软雅黑" w:eastAsia="微软雅黑" w:cs="微软雅黑"/>
          <w:color w:val="EA6000"/>
          <w:sz w:val="22"/>
          <w:szCs w:val="22"/>
          <w:u w:val="single"/>
          <w:lang w:eastAsia="zh-CN"/>
        </w:rPr>
        <w:t>】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按需自选，点击【下一步】进入预约页面，可就近选择分院，体检时间可看当日预约量，建议选择预约量少的时间参加体检。</w:t>
      </w:r>
    </w:p>
    <w:p w14:paraId="7BBF6FF2">
      <w:pPr>
        <w:spacing w:line="500" w:lineRule="exact"/>
        <w:ind w:left="420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</w:p>
    <w:p w14:paraId="7A369876">
      <w:pPr>
        <w:numPr>
          <w:ilvl w:val="0"/>
          <w:numId w:val="6"/>
        </w:numP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lang w:eastAsia="zh-CN"/>
        </w:rPr>
        <w:t>第三步</w:t>
      </w:r>
      <w:r>
        <w:rPr>
          <w:rFonts w:hint="eastAsia" w:ascii="微软雅黑" w:hAnsi="微软雅黑" w:eastAsia="微软雅黑" w:cs="Times New Roman"/>
          <w:sz w:val="28"/>
          <w:szCs w:val="28"/>
          <w:lang w:eastAsia="zh-CN"/>
        </w:rPr>
        <w:t>：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在选择好体检分院后，点击【下一步】进入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企业定制/通用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加项页面，请按需自选，确认后点击【开始预约】，随后出现基本信息页面，如需使用医保卡，请点击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【到店支付】</w:t>
      </w:r>
      <w:r>
        <w:rPr>
          <w:rFonts w:hint="eastAsia" w:ascii="微软雅黑" w:hAnsi="微软雅黑" w:eastAsia="微软雅黑" w:cs="微软雅黑"/>
          <w:b/>
          <w:bCs/>
          <w:sz w:val="22"/>
          <w:szCs w:val="22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确认无误后点击【完成预约】，可见预约成功页面。</w:t>
      </w:r>
    </w:p>
    <w:p w14:paraId="1B83E952">
      <w:pPr>
        <w:pStyle w:val="14"/>
        <w:ind w:firstLine="440"/>
        <w:rPr>
          <w:rFonts w:hint="eastAsia" w:ascii="微软雅黑" w:hAnsi="微软雅黑" w:eastAsia="微软雅黑" w:cs="微软雅黑"/>
          <w:sz w:val="22"/>
        </w:rPr>
      </w:pPr>
    </w:p>
    <w:p w14:paraId="0E61BFBE">
      <w:pPr>
        <w:spacing w:line="440" w:lineRule="exact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</w:p>
    <w:p w14:paraId="6B46B67C">
      <w:pPr>
        <w:spacing w:line="440" w:lineRule="exact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</w:p>
    <w:p w14:paraId="5705A71A">
      <w:pPr>
        <w:pStyle w:val="14"/>
        <w:numPr>
          <w:ilvl w:val="0"/>
          <w:numId w:val="1"/>
        </w:numPr>
        <w:ind w:firstLineChars="0"/>
        <w:rPr>
          <w:rFonts w:hint="eastAsia" w:ascii="微软雅黑" w:hAnsi="微软雅黑" w:eastAsia="微软雅黑" w:cs="思源黑体 CN Heavy"/>
          <w:b/>
          <w:color w:val="EA6000"/>
          <w:sz w:val="32"/>
          <w:szCs w:val="32"/>
        </w:rPr>
      </w:pPr>
      <w:r>
        <w:rPr>
          <w:rFonts w:hint="eastAsia" w:ascii="微软雅黑" w:hAnsi="微软雅黑" w:eastAsia="微软雅黑" w:cs="思源黑体 CN Heavy"/>
          <w:b/>
          <w:color w:val="EA6000"/>
          <w:sz w:val="32"/>
          <w:szCs w:val="32"/>
        </w:rPr>
        <w:t>爱康体检各分院简介</w:t>
      </w:r>
    </w:p>
    <w:tbl>
      <w:tblPr>
        <w:tblStyle w:val="7"/>
        <w:tblW w:w="9997" w:type="dxa"/>
        <w:tblInd w:w="-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0"/>
        <w:gridCol w:w="1628"/>
        <w:gridCol w:w="1701"/>
        <w:gridCol w:w="1559"/>
        <w:gridCol w:w="1701"/>
        <w:gridCol w:w="1418"/>
      </w:tblGrid>
      <w:tr w14:paraId="50F739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99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0EE86A70">
            <w:pPr>
              <w:contextualSpacing/>
              <w:jc w:val="center"/>
              <w:rPr>
                <w:rFonts w:hint="eastAsia"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  <w:t>南京爱康区域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054803F0">
            <w:pPr>
              <w:contextualSpacing/>
              <w:jc w:val="center"/>
              <w:rPr>
                <w:rFonts w:hint="eastAsia"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>鼓楼</w:t>
            </w:r>
          </w:p>
        </w:tc>
        <w:tc>
          <w:tcPr>
            <w:tcW w:w="170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36CBB8F9">
            <w:pPr>
              <w:contextualSpacing/>
              <w:jc w:val="center"/>
              <w:rPr>
                <w:rFonts w:hint="eastAsia"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>江宁</w:t>
            </w:r>
          </w:p>
        </w:tc>
        <w:tc>
          <w:tcPr>
            <w:tcW w:w="155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4083F76F">
            <w:pPr>
              <w:contextualSpacing/>
              <w:jc w:val="center"/>
              <w:rPr>
                <w:rFonts w:hint="eastAsia"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>浦口</w:t>
            </w:r>
          </w:p>
        </w:tc>
        <w:tc>
          <w:tcPr>
            <w:tcW w:w="170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21B82209">
            <w:pPr>
              <w:contextualSpacing/>
              <w:jc w:val="center"/>
              <w:rPr>
                <w:rFonts w:hint="eastAsia"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>河西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2FFE7C67">
            <w:pPr>
              <w:contextualSpacing/>
              <w:jc w:val="center"/>
              <w:rPr>
                <w:rFonts w:hint="eastAsia" w:ascii="微软雅黑" w:hAnsi="微软雅黑" w:eastAsia="微软雅黑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lang w:val="en-US" w:eastAsia="zh-CN"/>
              </w:rPr>
              <w:t>新街口</w:t>
            </w:r>
          </w:p>
        </w:tc>
      </w:tr>
      <w:tr w14:paraId="2F98DF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199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DE9D9" w:themeFill="accent6" w:themeFillTint="33"/>
            <w:vAlign w:val="center"/>
          </w:tcPr>
          <w:p w14:paraId="376CC63E"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lang w:eastAsia="zh-CN"/>
              </w:rPr>
              <w:t>体检服务对象</w:t>
            </w:r>
          </w:p>
        </w:tc>
        <w:tc>
          <w:tcPr>
            <w:tcW w:w="488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FDFFEE"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  <w:t>在职及退休、离休及高级专家</w:t>
            </w:r>
          </w:p>
        </w:tc>
        <w:tc>
          <w:tcPr>
            <w:tcW w:w="3119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502B45"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  <w:t>离休干部及高级专家</w:t>
            </w:r>
          </w:p>
        </w:tc>
      </w:tr>
      <w:tr w14:paraId="1E00F6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99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DE9D9" w:themeFill="accent6" w:themeFillTint="33"/>
            <w:vAlign w:val="center"/>
          </w:tcPr>
          <w:p w14:paraId="16CE2D8A"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>优势说明</w:t>
            </w:r>
          </w:p>
        </w:tc>
        <w:tc>
          <w:tcPr>
            <w:tcW w:w="8007" w:type="dxa"/>
            <w:gridSpan w:val="5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B5C2D9"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  <w:t>独家三排队系统，减少等待时间，男女分区，更有私密性</w:t>
            </w:r>
          </w:p>
        </w:tc>
      </w:tr>
      <w:tr w14:paraId="2FEF7E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99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DE9D9" w:themeFill="accent6" w:themeFillTint="33"/>
            <w:vAlign w:val="center"/>
          </w:tcPr>
          <w:p w14:paraId="25EEBD55"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>营业面积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E236F3"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color w:val="000000"/>
              </w:rPr>
            </w:pPr>
            <w:r>
              <w:rPr>
                <w:rFonts w:hint="eastAsia" w:ascii="微软雅黑" w:hAnsi="微软雅黑" w:eastAsia="微软雅黑"/>
                <w:color w:val="000000"/>
              </w:rPr>
              <w:t>4632㎡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62F6A5"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color w:val="000000"/>
              </w:rPr>
            </w:pPr>
            <w:r>
              <w:rPr>
                <w:rFonts w:hint="eastAsia" w:ascii="微软雅黑" w:hAnsi="微软雅黑" w:eastAsia="微软雅黑"/>
                <w:color w:val="000000"/>
              </w:rPr>
              <w:t>4348㎡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9D0723"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color w:val="000000"/>
              </w:rPr>
            </w:pPr>
            <w:r>
              <w:rPr>
                <w:rFonts w:hint="eastAsia" w:ascii="微软雅黑" w:hAnsi="微软雅黑" w:eastAsia="微软雅黑"/>
                <w:color w:val="000000"/>
              </w:rPr>
              <w:t>2528㎡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279278"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color w:val="000000"/>
              </w:rPr>
            </w:pPr>
            <w:r>
              <w:rPr>
                <w:rFonts w:hint="eastAsia" w:ascii="微软雅黑" w:hAnsi="微软雅黑" w:eastAsia="微软雅黑"/>
                <w:color w:val="000000"/>
              </w:rPr>
              <w:t>4200㎡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2AEDBE"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color w:val="000000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lang w:val="en-US" w:eastAsia="zh-CN"/>
              </w:rPr>
              <w:t>5200</w:t>
            </w:r>
            <w:r>
              <w:rPr>
                <w:rFonts w:hint="eastAsia" w:ascii="微软雅黑" w:hAnsi="微软雅黑" w:eastAsia="微软雅黑"/>
                <w:color w:val="000000"/>
              </w:rPr>
              <w:t>㎡</w:t>
            </w:r>
          </w:p>
        </w:tc>
      </w:tr>
      <w:tr w14:paraId="01533A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99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DE9D9" w:themeFill="accent6" w:themeFillTint="33"/>
            <w:vAlign w:val="center"/>
          </w:tcPr>
          <w:p w14:paraId="11CCEF25"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  <w:t>报告解读电话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FF277E"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lang w:eastAsia="zh-CN"/>
              </w:rPr>
              <w:t>86640066</w:t>
            </w:r>
          </w:p>
          <w:p w14:paraId="409B10CC"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lang w:eastAsia="zh-CN"/>
              </w:rPr>
              <w:t>转816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E03E0D"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color w:val="000000"/>
              </w:rPr>
            </w:pPr>
            <w:r>
              <w:rPr>
                <w:rFonts w:hint="eastAsia" w:ascii="微软雅黑" w:hAnsi="微软雅黑" w:eastAsia="微软雅黑"/>
                <w:color w:val="000000"/>
              </w:rPr>
              <w:t>85670097</w:t>
            </w:r>
          </w:p>
          <w:p w14:paraId="10B92755"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color w:val="000000"/>
              </w:rPr>
            </w:pPr>
            <w:r>
              <w:rPr>
                <w:rFonts w:hint="eastAsia" w:ascii="微软雅黑" w:hAnsi="微软雅黑" w:eastAsia="微软雅黑"/>
                <w:color w:val="000000"/>
              </w:rPr>
              <w:t>转625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269A9B"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lang w:eastAsia="zh-CN"/>
              </w:rPr>
              <w:t>86202166转0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060507"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color w:val="000000"/>
              </w:rPr>
            </w:pPr>
            <w:r>
              <w:rPr>
                <w:rFonts w:hint="eastAsia" w:ascii="微软雅黑" w:hAnsi="微软雅黑" w:eastAsia="微软雅黑"/>
                <w:color w:val="000000"/>
              </w:rPr>
              <w:t>83176826</w:t>
            </w:r>
            <w:r>
              <w:rPr>
                <w:rFonts w:hint="eastAsia" w:ascii="微软雅黑" w:hAnsi="微软雅黑" w:eastAsia="微软雅黑"/>
                <w:color w:val="000000"/>
                <w:lang w:eastAsia="zh-CN"/>
              </w:rPr>
              <w:t>转</w:t>
            </w:r>
            <w:r>
              <w:rPr>
                <w:rFonts w:hint="eastAsia" w:ascii="微软雅黑" w:hAnsi="微软雅黑" w:eastAsia="微软雅黑"/>
                <w:color w:val="000000"/>
              </w:rPr>
              <w:t>837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FB936A"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color w:val="000000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lang w:val="en-US" w:eastAsia="zh-CN"/>
              </w:rPr>
              <w:t>57904380转806</w:t>
            </w:r>
          </w:p>
        </w:tc>
      </w:tr>
      <w:tr w14:paraId="1349AE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99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DE9D9" w:themeFill="accent6" w:themeFillTint="33"/>
            <w:vAlign w:val="center"/>
          </w:tcPr>
          <w:p w14:paraId="70F2574C"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  <w:t>报告解读时间</w:t>
            </w:r>
          </w:p>
        </w:tc>
        <w:tc>
          <w:tcPr>
            <w:tcW w:w="8007" w:type="dxa"/>
            <w:gridSpan w:val="5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0BFF31"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lang w:eastAsia="zh-CN"/>
              </w:rPr>
              <w:t>周二至周日9:30-15:30（节假日除外）</w:t>
            </w:r>
          </w:p>
        </w:tc>
      </w:tr>
      <w:tr w14:paraId="38B17A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99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DE9D9" w:themeFill="accent6" w:themeFillTint="33"/>
            <w:vAlign w:val="center"/>
          </w:tcPr>
          <w:p w14:paraId="0CA9EBBA"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>优势说明</w:t>
            </w:r>
          </w:p>
        </w:tc>
        <w:tc>
          <w:tcPr>
            <w:tcW w:w="8007" w:type="dxa"/>
            <w:gridSpan w:val="5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C4F9D6"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lang w:eastAsia="zh-CN"/>
              </w:rPr>
              <w:t>高品质服务空间，环境更轻松，舒适度更高</w:t>
            </w:r>
          </w:p>
        </w:tc>
      </w:tr>
      <w:tr w14:paraId="1EBCA8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99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DE9D9" w:themeFill="accent6" w:themeFillTint="33"/>
            <w:vAlign w:val="center"/>
          </w:tcPr>
          <w:p w14:paraId="0BB87914"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</w:rPr>
              <w:t>医保资质</w:t>
            </w:r>
          </w:p>
        </w:tc>
        <w:tc>
          <w:tcPr>
            <w:tcW w:w="8007" w:type="dxa"/>
            <w:gridSpan w:val="5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09AAAA"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color w:val="FF0000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lang w:eastAsia="zh-CN"/>
              </w:rPr>
              <w:t>覆盖医保资质，加项及家属体检均可使用南京市本人医保</w:t>
            </w:r>
            <w:r>
              <w:rPr>
                <w:rFonts w:hint="eastAsia" w:ascii="微软雅黑" w:hAnsi="微软雅黑" w:eastAsia="微软雅黑"/>
                <w:lang w:val="en-US" w:eastAsia="zh-CN"/>
              </w:rPr>
              <w:t>账户余额</w:t>
            </w:r>
          </w:p>
          <w:p w14:paraId="70E510A6"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EA6000"/>
                <w:sz w:val="28"/>
                <w:szCs w:val="28"/>
                <w:lang w:eastAsia="zh-CN"/>
              </w:rPr>
              <w:t>（浦口分院、河西分院及非医保项目除外）</w:t>
            </w:r>
          </w:p>
        </w:tc>
      </w:tr>
      <w:tr w14:paraId="1933F9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199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DE9D9" w:themeFill="accent6" w:themeFillTint="33"/>
            <w:vAlign w:val="center"/>
          </w:tcPr>
          <w:p w14:paraId="46A42A38"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>停车场地</w:t>
            </w:r>
          </w:p>
        </w:tc>
        <w:tc>
          <w:tcPr>
            <w:tcW w:w="8007" w:type="dxa"/>
            <w:gridSpan w:val="5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F48235"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lang w:eastAsia="zh-CN"/>
              </w:rPr>
              <w:t>均有付费停车场</w:t>
            </w:r>
          </w:p>
        </w:tc>
      </w:tr>
      <w:tr w14:paraId="41DA9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99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DE9D9" w:themeFill="accent6" w:themeFillTint="33"/>
            <w:vAlign w:val="center"/>
          </w:tcPr>
          <w:p w14:paraId="79EE0FD2"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  <w:t>便捷交通</w:t>
            </w:r>
          </w:p>
        </w:tc>
        <w:tc>
          <w:tcPr>
            <w:tcW w:w="8007" w:type="dxa"/>
            <w:gridSpan w:val="5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E1E9FE">
            <w:pPr>
              <w:spacing w:line="480" w:lineRule="exact"/>
              <w:contextualSpacing/>
              <w:jc w:val="center"/>
              <w:rPr>
                <w:rFonts w:hint="eastAsia" w:ascii="微软雅黑" w:hAnsi="微软雅黑" w:eastAsia="微软雅黑"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lang w:eastAsia="zh-CN"/>
              </w:rPr>
              <w:t>均靠近地铁站，及公交站，详见附件①</w:t>
            </w:r>
          </w:p>
        </w:tc>
      </w:tr>
    </w:tbl>
    <w:p w14:paraId="799712DC">
      <w:pPr>
        <w:spacing w:before="262" w:beforeLines="84" w:line="360" w:lineRule="auto"/>
        <w:jc w:val="both"/>
        <w:rPr>
          <w:rFonts w:hint="eastAsia" w:ascii="微软雅黑" w:hAnsi="微软雅黑" w:eastAsia="微软雅黑" w:cs="微软雅黑"/>
          <w:b/>
          <w:bCs/>
          <w:color w:val="EA6000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EA6000"/>
          <w:sz w:val="28"/>
          <w:szCs w:val="28"/>
          <w:lang w:eastAsia="zh-CN"/>
        </w:rPr>
        <w:t>附件① 可选分院具体地址及乘车路线：</w:t>
      </w:r>
    </w:p>
    <w:p w14:paraId="33BB6AE6">
      <w:pPr>
        <w:spacing w:line="120" w:lineRule="exact"/>
        <w:jc w:val="both"/>
        <w:rPr>
          <w:rFonts w:hint="eastAsia" w:ascii="微软雅黑" w:hAnsi="微软雅黑" w:eastAsia="微软雅黑" w:cs="微软雅黑"/>
          <w:b/>
          <w:bCs/>
          <w:color w:val="EA6000"/>
          <w:sz w:val="28"/>
          <w:szCs w:val="28"/>
          <w:lang w:eastAsia="zh-CN"/>
        </w:rPr>
      </w:pPr>
      <w:r>
        <w:rPr>
          <w:rFonts w:ascii="微软雅黑" w:hAnsi="微软雅黑" w:eastAsia="微软雅黑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45085</wp:posOffset>
                </wp:positionV>
                <wp:extent cx="6153150" cy="0"/>
                <wp:effectExtent l="0" t="19050" r="0" b="0"/>
                <wp:wrapNone/>
                <wp:docPr id="20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315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A6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" o:spid="_x0000_s1026" o:spt="20" style="position:absolute;left:0pt;margin-left:-1.95pt;margin-top:3.55pt;height:0pt;width:484.5pt;z-index:251660288;mso-width-relative:page;mso-height-relative:page;" filled="f" stroked="t" coordsize="21600,21600" o:gfxdata="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aPdh1NUAAAAGAQAADwAAAAAA&#10;AAABACAAAAAiAAAAZHJzL2Rvd25yZXYueG1sUEsBAhQAFAAAAAgAh07iQOvK3qXdAQAAnAMAAA4A&#10;AAAAAAAAAQAgAAAAJAEAAGRycy9lMm9Eb2MueG1sUEsFBgAAAAAGAAYAWQEAAHMFAAAAAA==&#10;">
                <v:fill on="f" focussize="0,0"/>
                <v:stroke weight="2.25pt" color="#EA6000" joinstyle="round"/>
                <v:imagedata o:title=""/>
                <o:lock v:ext="edit" aspectratio="f"/>
              </v:line>
            </w:pict>
          </mc:Fallback>
        </mc:AlternateContent>
      </w:r>
    </w:p>
    <w:p w14:paraId="3800BF77">
      <w:pPr>
        <w:numPr>
          <w:ilvl w:val="0"/>
          <w:numId w:val="7"/>
        </w:numPr>
        <w:spacing w:line="360" w:lineRule="exact"/>
        <w:contextualSpacing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爱康国宾南京鼓楼分院</w:t>
      </w:r>
    </w:p>
    <w:p w14:paraId="0FBDFDC4">
      <w:pPr>
        <w:spacing w:line="360" w:lineRule="exact"/>
        <w:contextualSpacing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地址：南京市鼓楼区中央路19号金峰大厦1层（地铁1/4号线鼓楼站4A出口）</w:t>
      </w:r>
    </w:p>
    <w:p w14:paraId="06BD1143">
      <w:pPr>
        <w:spacing w:line="360" w:lineRule="exact"/>
        <w:contextualSpacing/>
        <w:rPr>
          <w:rFonts w:hint="eastAsia" w:ascii="微软雅黑" w:hAnsi="微软雅黑" w:eastAsia="微软雅黑" w:cs="微软雅黑"/>
          <w:lang w:val="en-US" w:eastAsia="zh-CN"/>
        </w:rPr>
      </w:pPr>
    </w:p>
    <w:p w14:paraId="1E4BEEA4">
      <w:pPr>
        <w:numPr>
          <w:ilvl w:val="0"/>
          <w:numId w:val="7"/>
        </w:numPr>
        <w:spacing w:line="360" w:lineRule="exact"/>
        <w:contextualSpacing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爱康国宾南京江宁分院</w:t>
      </w:r>
    </w:p>
    <w:p w14:paraId="620EBF00">
      <w:pPr>
        <w:spacing w:line="360" w:lineRule="exact"/>
        <w:contextualSpacing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地址：南京市江宁区双龙大道1118号金轮新都汇2层（地铁1号线河定桥1号出口）</w:t>
      </w:r>
    </w:p>
    <w:p w14:paraId="6AC25065">
      <w:pPr>
        <w:spacing w:line="360" w:lineRule="exact"/>
        <w:contextualSpacing/>
        <w:rPr>
          <w:rFonts w:hint="eastAsia" w:ascii="微软雅黑" w:hAnsi="微软雅黑" w:eastAsia="微软雅黑" w:cs="微软雅黑"/>
          <w:lang w:val="en-US" w:eastAsia="zh-CN"/>
        </w:rPr>
      </w:pPr>
    </w:p>
    <w:p w14:paraId="3B931406">
      <w:pPr>
        <w:numPr>
          <w:ilvl w:val="0"/>
          <w:numId w:val="7"/>
        </w:numPr>
        <w:spacing w:line="360" w:lineRule="exact"/>
        <w:contextualSpacing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爱康国宾南京浦口分院</w:t>
      </w:r>
    </w:p>
    <w:p w14:paraId="14740226">
      <w:pPr>
        <w:spacing w:line="360" w:lineRule="exact"/>
        <w:contextualSpacing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地址：南京市浦口大道1号新城总部大厦3层（地铁10号线南京工业大学站3号出口）</w:t>
      </w:r>
    </w:p>
    <w:p w14:paraId="418328B9">
      <w:pPr>
        <w:spacing w:line="360" w:lineRule="exact"/>
        <w:contextualSpacing/>
        <w:rPr>
          <w:rFonts w:hint="eastAsia" w:ascii="微软雅黑" w:hAnsi="微软雅黑" w:eastAsia="微软雅黑" w:cs="微软雅黑"/>
          <w:lang w:eastAsia="zh-CN"/>
        </w:rPr>
      </w:pPr>
    </w:p>
    <w:p w14:paraId="5FBE0E88">
      <w:pPr>
        <w:numPr>
          <w:ilvl w:val="0"/>
          <w:numId w:val="7"/>
        </w:numPr>
        <w:spacing w:line="360" w:lineRule="exact"/>
        <w:contextualSpacing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爱康卓悦南京河西分院</w:t>
      </w:r>
      <w:r>
        <w:rPr>
          <w:rFonts w:hint="eastAsia" w:ascii="微软雅黑" w:hAnsi="微软雅黑" w:eastAsia="微软雅黑" w:cs="微软雅黑"/>
          <w:b/>
          <w:bCs/>
          <w:color w:val="E46C0A" w:themeColor="accent6" w:themeShade="BF"/>
          <w:lang w:val="en-US" w:eastAsia="zh-CN"/>
        </w:rPr>
        <w:t>（仅供离休干部及高级专家选择）</w:t>
      </w:r>
    </w:p>
    <w:p w14:paraId="194062A2">
      <w:pPr>
        <w:spacing w:line="360" w:lineRule="exact"/>
        <w:contextualSpacing/>
        <w:jc w:val="both"/>
        <w:rPr>
          <w:rFonts w:hint="eastAsia" w:ascii="微软雅黑" w:hAnsi="微软雅黑" w:eastAsia="微软雅黑" w:cs="微软雅黑"/>
          <w:color w:val="000000"/>
          <w:lang w:eastAsia="zh-CN"/>
        </w:rPr>
      </w:pPr>
      <w:r>
        <w:rPr>
          <w:rFonts w:hint="eastAsia" w:ascii="微软雅黑" w:hAnsi="微软雅黑" w:eastAsia="微软雅黑" w:cs="微软雅黑"/>
          <w:color w:val="000000"/>
          <w:lang w:eastAsia="zh-CN"/>
        </w:rPr>
        <w:t>地址：南京市建邺区庐山路168号新地中心二期2层B区（</w:t>
      </w:r>
      <w:r>
        <w:rPr>
          <w:rFonts w:hint="eastAsia" w:ascii="微软雅黑" w:hAnsi="微软雅黑" w:eastAsia="微软雅黑" w:cs="微软雅黑"/>
          <w:lang w:val="en-US" w:eastAsia="zh-CN"/>
        </w:rPr>
        <w:t>地铁2/10号线元通站5号出口）</w:t>
      </w:r>
    </w:p>
    <w:p w14:paraId="5614918E">
      <w:pPr>
        <w:spacing w:line="360" w:lineRule="exact"/>
        <w:contextualSpacing/>
        <w:jc w:val="both"/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</w:pPr>
    </w:p>
    <w:p w14:paraId="6E20D0F8">
      <w:pPr>
        <w:numPr>
          <w:ilvl w:val="0"/>
          <w:numId w:val="7"/>
        </w:numPr>
        <w:spacing w:line="360" w:lineRule="exact"/>
        <w:contextualSpacing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爱康卓悦新街口国金分院</w:t>
      </w:r>
      <w:r>
        <w:rPr>
          <w:rFonts w:hint="eastAsia" w:ascii="微软雅黑" w:hAnsi="微软雅黑" w:eastAsia="微软雅黑" w:cs="微软雅黑"/>
          <w:b/>
          <w:bCs/>
          <w:color w:val="E46C0A" w:themeColor="accent6" w:themeShade="BF"/>
          <w:lang w:val="en-US" w:eastAsia="zh-CN"/>
        </w:rPr>
        <w:t>（仅供离休干部及高级专家选择）</w:t>
      </w:r>
    </w:p>
    <w:p w14:paraId="7BFDB8DE">
      <w:pPr>
        <w:spacing w:line="360" w:lineRule="exact"/>
        <w:contextualSpacing/>
        <w:jc w:val="both"/>
        <w:rPr>
          <w:rFonts w:hint="eastAsia" w:ascii="微软雅黑" w:hAnsi="微软雅黑" w:eastAsia="微软雅黑" w:cs="微软雅黑"/>
          <w:color w:val="000000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lang w:val="en-US" w:eastAsia="zh-CN"/>
        </w:rPr>
        <w:t>地址：南京市秦淮区汉中路1号国际金融中心3层（地铁1/2号线，新街口站5号出口）</w:t>
      </w:r>
    </w:p>
    <w:p w14:paraId="4FAA29BD">
      <w:pPr>
        <w:numPr>
          <w:ilvl w:val="0"/>
          <w:numId w:val="1"/>
        </w:numPr>
        <w:jc w:val="both"/>
        <w:rPr>
          <w:rFonts w:hint="eastAsia" w:ascii="微软雅黑" w:hAnsi="微软雅黑" w:eastAsia="微软雅黑" w:cs="思源黑体 CN Heavy"/>
          <w:b/>
          <w:color w:val="EA600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思源黑体 CN Heavy"/>
          <w:b/>
          <w:color w:val="EA6000"/>
          <w:sz w:val="32"/>
          <w:szCs w:val="32"/>
          <w:lang w:val="en-US" w:eastAsia="zh-CN"/>
        </w:rPr>
        <w:t>体检注意事项</w:t>
      </w:r>
    </w:p>
    <w:p w14:paraId="4E1012B3">
      <w:pPr>
        <w:shd w:val="clear" w:color="auto" w:fill="FFFFFF"/>
        <w:spacing w:before="156" w:beforeLines="50"/>
        <w:rPr>
          <w:rFonts w:hint="eastAsia" w:ascii="微软雅黑" w:hAnsi="微软雅黑" w:eastAsia="微软雅黑" w:cs="等线"/>
          <w:b/>
          <w:bCs/>
          <w:kern w:val="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2"/>
          <w:lang w:val="en-US" w:eastAsia="zh-CN"/>
        </w:rPr>
        <w:t>（一）体检前</w:t>
      </w:r>
    </w:p>
    <w:p w14:paraId="59AA2B1A">
      <w:pPr>
        <w:widowControl w:val="0"/>
        <w:numPr>
          <w:ilvl w:val="0"/>
          <w:numId w:val="8"/>
        </w:numPr>
        <w:adjustRightInd w:val="0"/>
        <w:snapToGrid w:val="0"/>
        <w:ind w:left="357" w:hanging="357"/>
        <w:jc w:val="both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体检前三天请注意饮食，不吃高脂、高蛋白等食物，不饮酒，前一天晚上八点后尽量勿进食，避免剧烈运动，保持充足睡眠。</w:t>
      </w:r>
    </w:p>
    <w:p w14:paraId="7044689F">
      <w:pPr>
        <w:widowControl w:val="0"/>
        <w:numPr>
          <w:ilvl w:val="0"/>
          <w:numId w:val="8"/>
        </w:numPr>
        <w:adjustRightInd w:val="0"/>
        <w:snapToGrid w:val="0"/>
        <w:ind w:left="357" w:hanging="357"/>
        <w:jc w:val="both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体检当日早晨禁食、水（常服药者可照常服药，喝少许水）。</w:t>
      </w:r>
    </w:p>
    <w:p w14:paraId="0B6E9659">
      <w:pPr>
        <w:widowControl w:val="0"/>
        <w:numPr>
          <w:ilvl w:val="0"/>
          <w:numId w:val="8"/>
        </w:numPr>
        <w:adjustRightInd w:val="0"/>
        <w:snapToGrid w:val="0"/>
        <w:ind w:left="357" w:hanging="357"/>
        <w:jc w:val="both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体检当日携带本人有效身份证。如曾经住院或有手术史，请携带病历和相关资料，供体检医师参考。</w:t>
      </w:r>
    </w:p>
    <w:p w14:paraId="2C8A8E1A">
      <w:pPr>
        <w:widowControl w:val="0"/>
        <w:numPr>
          <w:ilvl w:val="0"/>
          <w:numId w:val="8"/>
        </w:numPr>
        <w:adjustRightInd w:val="0"/>
        <w:snapToGrid w:val="0"/>
        <w:ind w:left="357" w:hanging="357"/>
        <w:jc w:val="both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女性在月经期内请不要留取尿液标本及妇检，月经期后三天再做检查。</w:t>
      </w:r>
    </w:p>
    <w:p w14:paraId="5A7A5702">
      <w:pPr>
        <w:widowControl w:val="0"/>
        <w:numPr>
          <w:ilvl w:val="0"/>
          <w:numId w:val="8"/>
        </w:numPr>
        <w:adjustRightInd w:val="0"/>
        <w:snapToGrid w:val="0"/>
        <w:ind w:left="357" w:hanging="357"/>
        <w:jc w:val="both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女性近期内计划怀孕及妊娠期间体检不能做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CT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检查。</w:t>
      </w:r>
    </w:p>
    <w:p w14:paraId="2268C038">
      <w:pPr>
        <w:widowControl w:val="0"/>
        <w:numPr>
          <w:ilvl w:val="0"/>
          <w:numId w:val="8"/>
        </w:numPr>
        <w:adjustRightInd w:val="0"/>
        <w:snapToGrid w:val="0"/>
        <w:ind w:left="357" w:hanging="357"/>
        <w:jc w:val="both"/>
        <w:rPr>
          <w:rFonts w:hint="eastAsia" w:ascii="微软雅黑" w:hAnsi="微软雅黑" w:eastAsia="微软雅黑" w:cs="等线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体检当日请勿穿着连体内衣物及长筒靴；请勿穿着带有金属亮片的衣服，为方便眼科检查，请勿佩戴隐形眼镜。</w:t>
      </w:r>
    </w:p>
    <w:p w14:paraId="27A2EBAD">
      <w:pPr>
        <w:shd w:val="clear" w:color="auto" w:fill="FFFFFF"/>
        <w:spacing w:before="156" w:beforeLines="50"/>
        <w:rPr>
          <w:rFonts w:hint="eastAsia" w:ascii="微软雅黑" w:hAnsi="微软雅黑" w:eastAsia="微软雅黑" w:cs="微软雅黑"/>
          <w:b/>
          <w:bCs/>
          <w:kern w:val="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4766310</wp:posOffset>
            </wp:positionH>
            <wp:positionV relativeFrom="paragraph">
              <wp:posOffset>128905</wp:posOffset>
            </wp:positionV>
            <wp:extent cx="1619885" cy="2240915"/>
            <wp:effectExtent l="0" t="0" r="0" b="6985"/>
            <wp:wrapThrough wrapText="bothSides">
              <wp:wrapPolygon>
                <wp:start x="0" y="0"/>
                <wp:lineTo x="0" y="21484"/>
                <wp:lineTo x="21338" y="21484"/>
                <wp:lineTo x="21338" y="0"/>
                <wp:lineTo x="0" y="0"/>
              </wp:wrapPolygon>
            </wp:wrapThrough>
            <wp:docPr id="1068" name="图片 1" descr="徽标&#10;&#10;低可信度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图片 1" descr="徽标&#10;&#10;低可信度描述已自动生成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2409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kern w:val="2"/>
          <w:lang w:val="en-US" w:eastAsia="zh-CN"/>
        </w:rPr>
        <w:t>（二）体检中</w:t>
      </w:r>
    </w:p>
    <w:p w14:paraId="303822B1">
      <w:pPr>
        <w:widowControl w:val="0"/>
        <w:numPr>
          <w:ilvl w:val="0"/>
          <w:numId w:val="9"/>
        </w:numPr>
        <w:adjustRightInd w:val="0"/>
        <w:snapToGrid w:val="0"/>
        <w:ind w:left="357" w:hanging="357"/>
        <w:jc w:val="both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可扫描右侧二维码，进入爱康智能导检系统，实时查询项目、进度、科室等。</w:t>
      </w:r>
    </w:p>
    <w:p w14:paraId="7497A7C8">
      <w:pPr>
        <w:widowControl w:val="0"/>
        <w:numPr>
          <w:ilvl w:val="0"/>
          <w:numId w:val="9"/>
        </w:numPr>
        <w:adjustRightInd w:val="0"/>
        <w:snapToGrid w:val="0"/>
        <w:ind w:left="357" w:hanging="357"/>
        <w:jc w:val="both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在体检过程中配合导检人员的引导，如遇任何问题请咨询现场导检人员。</w:t>
      </w:r>
    </w:p>
    <w:p w14:paraId="790C886F">
      <w:pPr>
        <w:widowControl w:val="0"/>
        <w:numPr>
          <w:ilvl w:val="0"/>
          <w:numId w:val="9"/>
        </w:numPr>
        <w:adjustRightInd w:val="0"/>
        <w:snapToGrid w:val="0"/>
        <w:ind w:left="357" w:hanging="357"/>
        <w:jc w:val="both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体检中积极配合医生检查，请勿隐瞒病史，防止误诊。</w:t>
      </w:r>
    </w:p>
    <w:p w14:paraId="70DAF000">
      <w:pPr>
        <w:widowControl w:val="0"/>
        <w:numPr>
          <w:ilvl w:val="0"/>
          <w:numId w:val="9"/>
        </w:numPr>
        <w:adjustRightInd w:val="0"/>
        <w:snapToGrid w:val="0"/>
        <w:ind w:left="357" w:hanging="357"/>
        <w:jc w:val="both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抽血后立即压迫针孔三分钟，防止出血，勿揉局部。</w:t>
      </w:r>
    </w:p>
    <w:p w14:paraId="1A361C93">
      <w:pPr>
        <w:widowControl w:val="0"/>
        <w:numPr>
          <w:ilvl w:val="0"/>
          <w:numId w:val="9"/>
        </w:numPr>
        <w:adjustRightInd w:val="0"/>
        <w:snapToGrid w:val="0"/>
        <w:ind w:left="357" w:hanging="357"/>
        <w:jc w:val="both"/>
        <w:rPr>
          <w:rFonts w:hint="eastAsia" w:ascii="微软雅黑" w:hAnsi="微软雅黑" w:eastAsia="微软雅黑" w:cs="等线"/>
          <w:color w:val="000000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lang w:eastAsia="zh-CN"/>
        </w:rPr>
        <w:t>妇科彩超检查：选择女未婚套餐的女士保持膀胱充盈（憋尿）；</w:t>
      </w:r>
      <w:r>
        <w:rPr>
          <w:rFonts w:hint="eastAsia" w:ascii="微软雅黑" w:hAnsi="微软雅黑" w:eastAsia="微软雅黑" w:cs="等线"/>
          <w:color w:val="000000"/>
          <w:sz w:val="22"/>
          <w:szCs w:val="22"/>
          <w:lang w:eastAsia="zh-CN"/>
        </w:rPr>
        <w:t>选择女已婚套餐的女士需检前排空小便。</w:t>
      </w:r>
    </w:p>
    <w:p w14:paraId="28F2EE86">
      <w:pPr>
        <w:shd w:val="clear" w:color="auto" w:fill="FFFFFF"/>
        <w:spacing w:before="156" w:beforeLines="50"/>
        <w:rPr>
          <w:rFonts w:hint="eastAsia" w:ascii="微软雅黑" w:hAnsi="微软雅黑" w:eastAsia="微软雅黑" w:cs="微软雅黑"/>
          <w:b/>
          <w:bCs/>
          <w:kern w:val="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2"/>
          <w:lang w:val="en-US" w:eastAsia="zh-CN"/>
        </w:rPr>
        <w:t>（三）体检后</w:t>
      </w:r>
    </w:p>
    <w:p w14:paraId="0AB54A39">
      <w:pPr>
        <w:widowControl w:val="0"/>
        <w:numPr>
          <w:ilvl w:val="0"/>
          <w:numId w:val="10"/>
        </w:numPr>
        <w:adjustRightInd w:val="0"/>
        <w:snapToGrid w:val="0"/>
        <w:jc w:val="both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请保存好体检结果，便于来年体检结果进行对比，也可作为就医时参考资料。</w:t>
      </w:r>
    </w:p>
    <w:p w14:paraId="67ED2161">
      <w:pPr>
        <w:widowControl w:val="0"/>
        <w:numPr>
          <w:ilvl w:val="0"/>
          <w:numId w:val="10"/>
        </w:numPr>
        <w:adjustRightInd w:val="0"/>
        <w:snapToGrid w:val="0"/>
        <w:jc w:val="both"/>
        <w:rPr>
          <w:rFonts w:hint="eastAsia" w:ascii="微软雅黑" w:hAnsi="微软雅黑" w:eastAsia="微软雅黑" w:cs="微软雅黑"/>
          <w:color w:val="000000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如体检结果反映出您的健康状况存在问题，请根据体检医师及爱康国宾的健</w:t>
      </w:r>
      <w:r>
        <w:rPr>
          <w:rFonts w:hint="eastAsia" w:ascii="微软雅黑" w:hAnsi="微软雅黑" w:eastAsia="微软雅黑" w:cs="微软雅黑"/>
          <w:color w:val="000000"/>
          <w:sz w:val="22"/>
          <w:szCs w:val="22"/>
          <w:lang w:eastAsia="zh-CN"/>
        </w:rPr>
        <w:t>康指导建议及时就医，并合理地安排好您的生活作息和习惯。</w:t>
      </w:r>
    </w:p>
    <w:p w14:paraId="0F267AAE">
      <w:pPr>
        <w:widowControl w:val="0"/>
        <w:numPr>
          <w:ilvl w:val="0"/>
          <w:numId w:val="10"/>
        </w:numPr>
        <w:adjustRightInd w:val="0"/>
        <w:snapToGrid w:val="0"/>
        <w:jc w:val="both"/>
        <w:rPr>
          <w:rFonts w:hint="eastAsia" w:ascii="微软雅黑" w:hAnsi="微软雅黑" w:eastAsia="微软雅黑" w:cs="微软雅黑"/>
          <w:color w:val="EA6000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color w:val="EA6000"/>
          <w:sz w:val="22"/>
          <w:szCs w:val="22"/>
          <w:lang w:eastAsia="zh-CN"/>
        </w:rPr>
        <w:t>体检报告：默认电子报告，如您需要纸质报告，请在收到短息后自行前往体检中心前台领取，领取时间：12：00-15：30（法定节假日除外）；离退休教职工提供纸质报告，校离退休处领取，领取时间待学校通知（联系电话025-83492911）；</w:t>
      </w:r>
    </w:p>
    <w:p w14:paraId="523D2307">
      <w:pPr>
        <w:widowControl w:val="0"/>
        <w:tabs>
          <w:tab w:val="left" w:pos="360"/>
        </w:tabs>
        <w:adjustRightInd w:val="0"/>
        <w:snapToGrid w:val="0"/>
        <w:ind w:left="360"/>
        <w:jc w:val="both"/>
        <w:rPr>
          <w:rFonts w:hint="eastAsia" w:ascii="微软雅黑" w:hAnsi="微软雅黑" w:eastAsia="微软雅黑" w:cs="微软雅黑"/>
          <w:color w:val="EA6000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color w:val="EA6000"/>
          <w:sz w:val="22"/>
          <w:szCs w:val="22"/>
          <w:lang w:eastAsia="zh-CN"/>
        </w:rPr>
        <w:t>电子报告：手机关注爱康微信公众号、支付宝搜索爱康、爱康APP或者爱康官网查询。</w:t>
      </w:r>
    </w:p>
    <w:p w14:paraId="0E7597C4">
      <w:pPr>
        <w:widowControl w:val="0"/>
        <w:numPr>
          <w:ilvl w:val="0"/>
          <w:numId w:val="10"/>
        </w:numPr>
        <w:adjustRightInd w:val="0"/>
        <w:snapToGrid w:val="0"/>
        <w:jc w:val="both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检后全国报告解读咨询电话4000818899，也可咨询对应体检分院客服电话（号码详见以上第（二）爱康体检各分院简介）。</w:t>
      </w:r>
    </w:p>
    <w:p w14:paraId="504BF3F9">
      <w:pPr>
        <w:widowControl w:val="0"/>
        <w:numPr>
          <w:ilvl w:val="0"/>
          <w:numId w:val="10"/>
        </w:numPr>
        <w:adjustRightInd w:val="0"/>
        <w:snapToGrid w:val="0"/>
        <w:jc w:val="both"/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 w:cs="微软雅黑"/>
          <w:color w:val="EA6000"/>
          <w:sz w:val="22"/>
          <w:szCs w:val="22"/>
          <w:u w:val="single"/>
          <w:lang w:eastAsia="zh-CN"/>
        </w:rPr>
        <w:t>体检结束后会立即收到爱康满意度调查问卷推送短信，您有任何疑问或不满，可及时反馈</w:t>
      </w:r>
      <w:r>
        <w:rPr>
          <w:rFonts w:hint="eastAsia" w:ascii="微软雅黑" w:hAnsi="微软雅黑" w:eastAsia="微软雅黑" w:cs="微软雅黑"/>
          <w:b/>
          <w:bCs/>
          <w:color w:val="EA6000"/>
          <w:sz w:val="22"/>
          <w:szCs w:val="22"/>
          <w:u w:val="single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t>如有其他疑问也可联系项目对接人：</w:t>
      </w:r>
      <w:r>
        <w:rPr>
          <w:rFonts w:hint="eastAsia" w:ascii="微软雅黑" w:hAnsi="微软雅黑" w:eastAsia="微软雅黑"/>
          <w:color w:val="2C2C2C"/>
          <w:sz w:val="22"/>
          <w:szCs w:val="22"/>
          <w:lang w:eastAsia="zh-CN"/>
        </w:rPr>
        <w:t>18105180602</w:t>
      </w:r>
      <w:r>
        <w:rPr>
          <w:rFonts w:hint="eastAsia" w:ascii="微软雅黑" w:hAnsi="微软雅黑" w:eastAsia="微软雅黑"/>
          <w:color w:val="2C2C2C"/>
          <w:sz w:val="22"/>
          <w:szCs w:val="22"/>
          <w:lang w:val="en-US" w:eastAsia="zh-CN"/>
        </w:rPr>
        <w:t>或18061200322</w:t>
      </w:r>
    </w:p>
    <w:p w14:paraId="0CDB7306">
      <w:pPr>
        <w:rPr>
          <w:rFonts w:hint="eastAsia" w:ascii="微软雅黑" w:hAnsi="微软雅黑" w:eastAsia="微软雅黑" w:cs="微软雅黑"/>
          <w:sz w:val="22"/>
          <w:szCs w:val="22"/>
          <w:lang w:eastAsia="zh-CN"/>
        </w:rPr>
      </w:pPr>
      <w:r>
        <w:rPr>
          <w:rFonts w:hint="eastAsia" w:ascii="微软雅黑" w:hAnsi="微软雅黑" w:eastAsia="微软雅黑"/>
          <w:color w:val="2C2C2C"/>
          <w:sz w:val="22"/>
          <w:szCs w:val="22"/>
          <w:lang w:val="en-US" w:eastAsia="zh-CN"/>
        </w:rPr>
        <w:br w:type="page"/>
      </w:r>
    </w:p>
    <w:p w14:paraId="59D85F4E">
      <w:pPr>
        <w:numPr>
          <w:ilvl w:val="0"/>
          <w:numId w:val="1"/>
        </w:numPr>
        <w:spacing w:before="106" w:beforeLines="34" w:after="106" w:afterLines="34"/>
        <w:jc w:val="both"/>
        <w:rPr>
          <w:rFonts w:hint="eastAsia" w:ascii="微软雅黑" w:hAnsi="微软雅黑" w:eastAsia="微软雅黑" w:cs="思源黑体 CN Heavy"/>
          <w:b/>
          <w:color w:val="EA600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思源黑体 CN Heavy"/>
          <w:b/>
          <w:color w:val="EA6000"/>
          <w:sz w:val="32"/>
          <w:szCs w:val="32"/>
          <w:lang w:val="en-US" w:eastAsia="zh-CN"/>
        </w:rPr>
        <w:t>体检套餐</w:t>
      </w:r>
    </w:p>
    <w:tbl>
      <w:tblPr>
        <w:tblStyle w:val="7"/>
        <w:tblW w:w="991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122"/>
        <w:gridCol w:w="7796"/>
      </w:tblGrid>
      <w:tr w14:paraId="7204BB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2122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CCD2108">
            <w:pPr>
              <w:spacing w:line="360" w:lineRule="auto"/>
              <w:contextualSpacing/>
              <w:jc w:val="center"/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/>
                <w:sz w:val="21"/>
                <w:szCs w:val="21"/>
                <w:lang w:val="en-US" w:eastAsia="zh-CN" w:bidi="ar"/>
              </w:rPr>
              <w:t>基本检查</w:t>
            </w:r>
          </w:p>
        </w:tc>
        <w:tc>
          <w:tcPr>
            <w:tcW w:w="7796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47906C0">
            <w:pPr>
              <w:spacing w:before="400" w:line="360" w:lineRule="auto"/>
              <w:contextualSpacing/>
              <w:jc w:val="center"/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/>
                <w:sz w:val="21"/>
                <w:szCs w:val="21"/>
                <w:lang w:val="en-US" w:eastAsia="zh-CN" w:bidi="ar"/>
              </w:rPr>
              <w:t>身高、体重、血压、脉搏、体重指数</w:t>
            </w:r>
          </w:p>
        </w:tc>
      </w:tr>
      <w:tr w14:paraId="305255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  <w:jc w:val="center"/>
        </w:trPr>
        <w:tc>
          <w:tcPr>
            <w:tcW w:w="2122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A8FAB36">
            <w:pPr>
              <w:spacing w:before="400" w:line="360" w:lineRule="auto"/>
              <w:contextualSpacing/>
              <w:jc w:val="center"/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/>
                <w:sz w:val="21"/>
                <w:szCs w:val="21"/>
                <w:lang w:val="en-US" w:eastAsia="zh-CN" w:bidi="ar"/>
              </w:rPr>
              <w:t>内科</w:t>
            </w:r>
          </w:p>
        </w:tc>
        <w:tc>
          <w:tcPr>
            <w:tcW w:w="7796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4A81C4C">
            <w:pPr>
              <w:spacing w:before="400" w:line="360" w:lineRule="auto"/>
              <w:contextualSpacing/>
              <w:jc w:val="center"/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/>
                <w:sz w:val="21"/>
                <w:szCs w:val="21"/>
                <w:lang w:val="en-US" w:eastAsia="zh-CN" w:bidi="ar"/>
              </w:rPr>
              <w:t>心、肺听诊、腹部触诊</w:t>
            </w:r>
          </w:p>
        </w:tc>
      </w:tr>
      <w:tr w14:paraId="148DBD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  <w:jc w:val="center"/>
        </w:trPr>
        <w:tc>
          <w:tcPr>
            <w:tcW w:w="2122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1B03476">
            <w:pPr>
              <w:spacing w:before="400" w:line="360" w:lineRule="auto"/>
              <w:contextualSpacing/>
              <w:jc w:val="center"/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/>
                <w:sz w:val="21"/>
                <w:szCs w:val="21"/>
                <w:lang w:val="en-US" w:eastAsia="zh-CN" w:bidi="ar"/>
              </w:rPr>
              <w:t>外科</w:t>
            </w:r>
          </w:p>
        </w:tc>
        <w:tc>
          <w:tcPr>
            <w:tcW w:w="7796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FD975EC">
            <w:pPr>
              <w:spacing w:before="400" w:line="360" w:lineRule="auto"/>
              <w:contextualSpacing/>
              <w:jc w:val="center"/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/>
                <w:sz w:val="21"/>
                <w:szCs w:val="21"/>
                <w:lang w:val="en-US" w:eastAsia="zh-CN" w:bidi="ar"/>
              </w:rPr>
              <w:t>浅表淋巴结、甲状腺、乳房、脊柱、四肢、外生殖器、前列腺、肛肠指检、皮肤等</w:t>
            </w:r>
          </w:p>
        </w:tc>
      </w:tr>
      <w:tr w14:paraId="53FA5B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2122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CAC688B">
            <w:pPr>
              <w:spacing w:before="400" w:line="360" w:lineRule="auto"/>
              <w:contextualSpacing/>
              <w:jc w:val="center"/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/>
                <w:sz w:val="21"/>
                <w:szCs w:val="21"/>
                <w:lang w:val="en-US" w:eastAsia="zh-CN" w:bidi="ar"/>
              </w:rPr>
              <w:t>眼科</w:t>
            </w:r>
          </w:p>
        </w:tc>
        <w:tc>
          <w:tcPr>
            <w:tcW w:w="7796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D334C14">
            <w:pPr>
              <w:spacing w:before="400" w:line="360" w:lineRule="auto"/>
              <w:contextualSpacing/>
              <w:jc w:val="center"/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/>
                <w:sz w:val="21"/>
                <w:szCs w:val="21"/>
                <w:lang w:val="en-US" w:eastAsia="zh-CN" w:bidi="ar"/>
              </w:rPr>
              <w:t>外眼、视力、眼底</w:t>
            </w:r>
          </w:p>
        </w:tc>
      </w:tr>
      <w:tr w14:paraId="175A08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2122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6A2AA10">
            <w:pPr>
              <w:spacing w:before="400" w:line="360" w:lineRule="auto"/>
              <w:contextualSpacing/>
              <w:jc w:val="center"/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/>
                <w:sz w:val="21"/>
                <w:szCs w:val="21"/>
                <w:lang w:val="en-US" w:eastAsia="zh-CN" w:bidi="ar"/>
              </w:rPr>
              <w:t>耳、鼻、喉科</w:t>
            </w:r>
          </w:p>
        </w:tc>
        <w:tc>
          <w:tcPr>
            <w:tcW w:w="7796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96308EB">
            <w:pPr>
              <w:spacing w:before="400" w:line="360" w:lineRule="auto"/>
              <w:contextualSpacing/>
              <w:jc w:val="center"/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/>
                <w:sz w:val="21"/>
                <w:szCs w:val="21"/>
                <w:lang w:val="en-US" w:eastAsia="zh-CN" w:bidi="ar"/>
              </w:rPr>
              <w:t>外耳道、鼓膜、鼻腔、鼻中隔、扁桃体、咽部</w:t>
            </w:r>
          </w:p>
        </w:tc>
      </w:tr>
      <w:tr w14:paraId="332473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2122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4104363">
            <w:pPr>
              <w:spacing w:before="400" w:line="360" w:lineRule="auto"/>
              <w:contextualSpacing/>
              <w:jc w:val="center"/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/>
                <w:sz w:val="21"/>
                <w:szCs w:val="21"/>
                <w:lang w:val="en-US" w:eastAsia="zh-CN" w:bidi="ar"/>
              </w:rPr>
              <w:t>妇科(已婚女)</w:t>
            </w:r>
          </w:p>
        </w:tc>
        <w:tc>
          <w:tcPr>
            <w:tcW w:w="7796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EF61F88">
            <w:pPr>
              <w:spacing w:before="400" w:line="360" w:lineRule="auto"/>
              <w:contextualSpacing/>
              <w:jc w:val="center"/>
              <w:rPr>
                <w:rFonts w:hint="eastAsia" w:cs="Times New Roman" w:asciiTheme="minorEastAsia" w:hAnsiTheme="minorEastAsia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/>
                <w:sz w:val="21"/>
                <w:szCs w:val="21"/>
                <w:lang w:val="en-US" w:eastAsia="zh-CN" w:bidi="ar"/>
              </w:rPr>
              <w:t>妇科检查、白带常规、宫颈液基细胞学检查（TCT）</w:t>
            </w:r>
          </w:p>
        </w:tc>
      </w:tr>
      <w:tr w14:paraId="134EAE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2122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87F5A69">
            <w:pPr>
              <w:spacing w:before="400" w:line="360" w:lineRule="auto"/>
              <w:contextualSpacing/>
              <w:jc w:val="center"/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/>
                <w:sz w:val="21"/>
                <w:szCs w:val="21"/>
                <w:lang w:val="en-US" w:eastAsia="zh-CN" w:bidi="ar"/>
              </w:rPr>
              <w:t>血常规</w:t>
            </w:r>
          </w:p>
        </w:tc>
        <w:tc>
          <w:tcPr>
            <w:tcW w:w="7796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8BC1A6D">
            <w:pPr>
              <w:spacing w:before="400" w:line="360" w:lineRule="auto"/>
              <w:contextualSpacing/>
              <w:jc w:val="center"/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/>
                <w:sz w:val="21"/>
                <w:szCs w:val="21"/>
                <w:lang w:val="en-US" w:eastAsia="zh-CN" w:bidi="ar"/>
              </w:rPr>
              <w:t>18项</w:t>
            </w:r>
          </w:p>
        </w:tc>
      </w:tr>
      <w:tr w14:paraId="4281F7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  <w:jc w:val="center"/>
        </w:trPr>
        <w:tc>
          <w:tcPr>
            <w:tcW w:w="2122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C96A036">
            <w:pPr>
              <w:spacing w:before="400" w:line="360" w:lineRule="auto"/>
              <w:contextualSpacing/>
              <w:jc w:val="center"/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/>
                <w:sz w:val="21"/>
                <w:szCs w:val="21"/>
                <w:lang w:val="en-US" w:eastAsia="zh-CN" w:bidi="ar"/>
              </w:rPr>
              <w:t>肝功能</w:t>
            </w:r>
          </w:p>
        </w:tc>
        <w:tc>
          <w:tcPr>
            <w:tcW w:w="7796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98D083D">
            <w:pPr>
              <w:spacing w:before="400" w:line="360" w:lineRule="auto"/>
              <w:contextualSpacing/>
              <w:jc w:val="center"/>
              <w:rPr>
                <w:rFonts w:hint="eastAsia" w:cs="Times New Roman" w:asciiTheme="minorEastAsia" w:hAnsiTheme="minorEastAsia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/>
                <w:sz w:val="21"/>
                <w:szCs w:val="21"/>
                <w:lang w:val="en-US" w:eastAsia="zh-CN" w:bidi="ar"/>
              </w:rPr>
              <w:t>肝功六项（ALT、AST、GGT、T-BIL、D-BIL、I-BIL）</w:t>
            </w:r>
          </w:p>
        </w:tc>
      </w:tr>
      <w:tr w14:paraId="205E2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  <w:jc w:val="center"/>
        </w:trPr>
        <w:tc>
          <w:tcPr>
            <w:tcW w:w="2122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EF0C230">
            <w:pPr>
              <w:spacing w:before="400" w:line="360" w:lineRule="auto"/>
              <w:contextualSpacing/>
              <w:jc w:val="center"/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/>
                <w:sz w:val="21"/>
                <w:szCs w:val="21"/>
                <w:lang w:val="en-US" w:eastAsia="zh-CN" w:bidi="ar"/>
              </w:rPr>
              <w:t>肿瘤标记筛选</w:t>
            </w:r>
          </w:p>
        </w:tc>
        <w:tc>
          <w:tcPr>
            <w:tcW w:w="7796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55671F2">
            <w:pPr>
              <w:spacing w:before="400" w:line="360" w:lineRule="auto"/>
              <w:contextualSpacing/>
              <w:jc w:val="center"/>
              <w:rPr>
                <w:rFonts w:hint="eastAsia" w:cs="Times New Roman" w:asciiTheme="minorEastAsia" w:hAnsiTheme="minorEastAsia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cs="微软雅黑" w:asciiTheme="minorEastAsia" w:hAnsiTheme="minorEastAsia" w:eastAsiaTheme="minorEastAsia"/>
                <w:sz w:val="21"/>
                <w:szCs w:val="21"/>
                <w:lang w:val="en-US" w:eastAsia="zh-CN" w:bidi="ar"/>
              </w:rPr>
              <w:t>CEA、AFP、CA199、CA125（女）、PSA（男）、NSE、CYFRA21-1</w:t>
            </w:r>
          </w:p>
        </w:tc>
      </w:tr>
      <w:tr w14:paraId="51DDA1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2122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72AE4D4">
            <w:pPr>
              <w:spacing w:before="400" w:line="360" w:lineRule="auto"/>
              <w:contextualSpacing/>
              <w:jc w:val="center"/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/>
                <w:sz w:val="21"/>
                <w:szCs w:val="21"/>
                <w:lang w:val="en-US" w:eastAsia="zh-CN" w:bidi="ar"/>
              </w:rPr>
              <w:t>肾脏机能</w:t>
            </w:r>
          </w:p>
        </w:tc>
        <w:tc>
          <w:tcPr>
            <w:tcW w:w="7796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39979AD">
            <w:pPr>
              <w:spacing w:before="400" w:line="360" w:lineRule="auto"/>
              <w:contextualSpacing/>
              <w:jc w:val="center"/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微软雅黑" w:asciiTheme="minorEastAsia" w:hAnsiTheme="minorEastAsia" w:eastAsiaTheme="minorEastAsia"/>
                <w:sz w:val="21"/>
                <w:szCs w:val="21"/>
                <w:lang w:val="en-US" w:eastAsia="zh-CN" w:bidi="ar"/>
              </w:rPr>
              <w:t>血尿素氮、血清尿酸、血清肌酐</w:t>
            </w:r>
          </w:p>
        </w:tc>
      </w:tr>
      <w:tr w14:paraId="19DDBF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  <w:jc w:val="center"/>
        </w:trPr>
        <w:tc>
          <w:tcPr>
            <w:tcW w:w="2122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E880DE0">
            <w:pPr>
              <w:spacing w:before="400" w:line="360" w:lineRule="auto"/>
              <w:contextualSpacing/>
              <w:jc w:val="center"/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/>
                <w:sz w:val="21"/>
                <w:szCs w:val="21"/>
                <w:lang w:val="en-US" w:eastAsia="zh-CN" w:bidi="ar"/>
              </w:rPr>
              <w:t>血脂</w:t>
            </w:r>
          </w:p>
        </w:tc>
        <w:tc>
          <w:tcPr>
            <w:tcW w:w="7796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4891455">
            <w:pPr>
              <w:spacing w:before="400" w:line="360" w:lineRule="auto"/>
              <w:contextualSpacing/>
              <w:jc w:val="center"/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微软雅黑" w:asciiTheme="minorEastAsia" w:hAnsiTheme="minorEastAsia" w:eastAsiaTheme="minorEastAsia"/>
                <w:sz w:val="21"/>
                <w:szCs w:val="21"/>
                <w:lang w:val="en-US" w:eastAsia="zh-CN" w:bidi="ar"/>
              </w:rPr>
              <w:t>胆固醇、甘油三脂、高密度脂蛋白胆固醇、低密度脂蛋白胆固醇</w:t>
            </w:r>
          </w:p>
        </w:tc>
      </w:tr>
      <w:tr w14:paraId="4F0AA6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  <w:jc w:val="center"/>
        </w:trPr>
        <w:tc>
          <w:tcPr>
            <w:tcW w:w="2122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AF7E63C">
            <w:pPr>
              <w:spacing w:before="400" w:line="360" w:lineRule="auto"/>
              <w:contextualSpacing/>
              <w:jc w:val="center"/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/>
                <w:sz w:val="21"/>
                <w:szCs w:val="21"/>
                <w:lang w:val="en-US" w:eastAsia="zh-CN" w:bidi="ar"/>
              </w:rPr>
              <w:t>血糖</w:t>
            </w:r>
          </w:p>
        </w:tc>
        <w:tc>
          <w:tcPr>
            <w:tcW w:w="7796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3487DB0">
            <w:pPr>
              <w:spacing w:before="400" w:line="360" w:lineRule="auto"/>
              <w:contextualSpacing/>
              <w:jc w:val="center"/>
              <w:rPr>
                <w:rFonts w:hint="eastAsia" w:cs="Times New Roman" w:asciiTheme="minorEastAsia" w:hAnsiTheme="minorEastAsia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cs="微软雅黑" w:asciiTheme="minorEastAsia" w:hAnsiTheme="minorEastAsia" w:eastAsiaTheme="minorEastAsia"/>
                <w:sz w:val="21"/>
                <w:szCs w:val="21"/>
                <w:lang w:val="en-US" w:eastAsia="zh-CN" w:bidi="ar"/>
              </w:rPr>
              <w:t>GLU、</w:t>
            </w:r>
            <w:r>
              <w:rPr>
                <w:rFonts w:hint="eastAsia" w:cs="思源黑体 CN Heavy" w:asciiTheme="minorEastAsia" w:hAnsiTheme="minorEastAsia" w:eastAsiaTheme="minorEastAsia"/>
                <w:b/>
                <w:color w:val="EA6000"/>
                <w:sz w:val="21"/>
                <w:szCs w:val="21"/>
                <w:lang w:val="en-US" w:eastAsia="zh-CN"/>
              </w:rPr>
              <w:t>糖化血红蛋白</w:t>
            </w:r>
          </w:p>
        </w:tc>
      </w:tr>
      <w:tr w14:paraId="4CE1EB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122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69D77C1">
            <w:pPr>
              <w:spacing w:before="400" w:line="360" w:lineRule="auto"/>
              <w:contextualSpacing/>
              <w:jc w:val="center"/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/>
                <w:sz w:val="21"/>
                <w:szCs w:val="21"/>
                <w:lang w:val="en-US" w:eastAsia="zh-CN" w:bidi="ar"/>
              </w:rPr>
              <w:t>尿常规</w:t>
            </w:r>
          </w:p>
        </w:tc>
        <w:tc>
          <w:tcPr>
            <w:tcW w:w="7796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20820DF">
            <w:pPr>
              <w:spacing w:before="400" w:line="360" w:lineRule="auto"/>
              <w:contextualSpacing/>
              <w:jc w:val="center"/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微软雅黑" w:asciiTheme="minorEastAsia" w:hAnsiTheme="minorEastAsia" w:eastAsiaTheme="minorEastAsia"/>
                <w:sz w:val="21"/>
                <w:szCs w:val="21"/>
                <w:lang w:val="en-US" w:eastAsia="zh-CN" w:bidi="ar"/>
              </w:rPr>
              <w:t>10项</w:t>
            </w:r>
          </w:p>
        </w:tc>
      </w:tr>
      <w:tr w14:paraId="4165A5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122" w:type="dxa"/>
            <w:shd w:val="clear" w:color="auto" w:fill="FFFFFF"/>
            <w:noWrap/>
            <w:tcMar>
              <w:left w:w="108" w:type="dxa"/>
              <w:right w:w="108" w:type="dxa"/>
            </w:tcMar>
            <w:vAlign w:val="center"/>
          </w:tcPr>
          <w:p w14:paraId="1209A5E1">
            <w:pPr>
              <w:spacing w:before="400" w:line="360" w:lineRule="auto"/>
              <w:contextualSpacing/>
              <w:jc w:val="center"/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/>
                <w:sz w:val="21"/>
                <w:szCs w:val="21"/>
                <w:lang w:val="en-US" w:eastAsia="zh-CN" w:bidi="ar"/>
              </w:rPr>
              <w:t>心电图</w:t>
            </w:r>
          </w:p>
        </w:tc>
        <w:tc>
          <w:tcPr>
            <w:tcW w:w="7796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72D56BF">
            <w:pPr>
              <w:spacing w:before="400" w:line="360" w:lineRule="auto"/>
              <w:contextualSpacing/>
              <w:jc w:val="center"/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微软雅黑" w:asciiTheme="minorEastAsia" w:hAnsiTheme="minorEastAsia" w:eastAsiaTheme="minorEastAsia"/>
                <w:sz w:val="21"/>
                <w:szCs w:val="21"/>
                <w:lang w:val="en-US" w:eastAsia="zh-CN" w:bidi="ar"/>
              </w:rPr>
              <w:t>12导心电图</w:t>
            </w:r>
          </w:p>
        </w:tc>
      </w:tr>
      <w:tr w14:paraId="32F94E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2122" w:type="dxa"/>
            <w:shd w:val="clear" w:color="auto" w:fill="FFFFFF"/>
            <w:noWrap/>
            <w:tcMar>
              <w:left w:w="108" w:type="dxa"/>
              <w:right w:w="108" w:type="dxa"/>
            </w:tcMar>
            <w:vAlign w:val="center"/>
          </w:tcPr>
          <w:p w14:paraId="737B5D09">
            <w:pPr>
              <w:spacing w:before="400" w:line="360" w:lineRule="auto"/>
              <w:contextualSpacing/>
              <w:jc w:val="center"/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/>
                <w:sz w:val="21"/>
                <w:szCs w:val="21"/>
                <w:lang w:val="en-US" w:eastAsia="zh-CN" w:bidi="ar"/>
              </w:rPr>
              <w:t>胸部摄片</w:t>
            </w:r>
          </w:p>
        </w:tc>
        <w:tc>
          <w:tcPr>
            <w:tcW w:w="7796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EAD21DF">
            <w:pPr>
              <w:spacing w:before="400" w:line="360" w:lineRule="auto"/>
              <w:contextualSpacing/>
              <w:jc w:val="center"/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微软雅黑" w:asciiTheme="minorEastAsia" w:hAnsiTheme="minorEastAsia" w:eastAsiaTheme="minorEastAsia"/>
                <w:sz w:val="21"/>
                <w:szCs w:val="21"/>
                <w:lang w:val="en-US" w:eastAsia="zh-CN" w:bidi="ar"/>
              </w:rPr>
              <w:t>胸部CT</w:t>
            </w:r>
          </w:p>
        </w:tc>
      </w:tr>
      <w:tr w14:paraId="4671B7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  <w:jc w:val="center"/>
        </w:trPr>
        <w:tc>
          <w:tcPr>
            <w:tcW w:w="2122" w:type="dxa"/>
            <w:shd w:val="clear" w:color="auto" w:fill="FFFFFF"/>
            <w:noWrap/>
            <w:tcMar>
              <w:left w:w="108" w:type="dxa"/>
              <w:right w:w="108" w:type="dxa"/>
            </w:tcMar>
            <w:vAlign w:val="center"/>
          </w:tcPr>
          <w:p w14:paraId="214E83A0">
            <w:pPr>
              <w:spacing w:before="400" w:line="360" w:lineRule="auto"/>
              <w:contextualSpacing/>
              <w:jc w:val="center"/>
              <w:rPr>
                <w:rFonts w:hint="eastAsia" w:cs="Times New Roman" w:asciiTheme="minorEastAsia" w:hAnsiTheme="minorEastAsia" w:eastAsiaTheme="minorEastAsia"/>
                <w:sz w:val="21"/>
                <w:szCs w:val="21"/>
              </w:rPr>
            </w:pPr>
            <w:r>
              <w:rPr>
                <w:rFonts w:hint="eastAsia" w:cs="微软雅黑" w:asciiTheme="minorEastAsia" w:hAnsiTheme="minorEastAsia" w:eastAsiaTheme="minorEastAsia"/>
                <w:color w:val="000000"/>
                <w:sz w:val="21"/>
                <w:szCs w:val="21"/>
                <w:lang w:val="en-US" w:eastAsia="zh-CN" w:bidi="ar"/>
              </w:rPr>
              <w:t>彩色B超</w:t>
            </w:r>
          </w:p>
        </w:tc>
        <w:tc>
          <w:tcPr>
            <w:tcW w:w="7796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C1C583B">
            <w:pPr>
              <w:spacing w:before="400" w:line="360" w:lineRule="auto"/>
              <w:contextualSpacing/>
              <w:jc w:val="center"/>
              <w:rPr>
                <w:rFonts w:hint="eastAsia" w:cs="Times New Roman" w:asciiTheme="minorEastAsia" w:hAnsiTheme="minorEastAsia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cs="微软雅黑" w:asciiTheme="minorEastAsia" w:hAnsiTheme="minorEastAsia" w:eastAsiaTheme="minorEastAsia"/>
                <w:sz w:val="21"/>
                <w:szCs w:val="21"/>
                <w:lang w:val="en-US" w:eastAsia="zh-CN" w:bidi="ar"/>
              </w:rPr>
              <w:t>1.肝、胆、脾、肾、胰脏、妇科（女）、乳腺（女）、前列腺（男）、甲状腺</w:t>
            </w:r>
          </w:p>
        </w:tc>
      </w:tr>
      <w:tr w14:paraId="4BDEB1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2122" w:type="dxa"/>
            <w:shd w:val="clear" w:color="auto" w:fill="FFFFFF"/>
            <w:noWrap/>
            <w:tcMar>
              <w:left w:w="108" w:type="dxa"/>
              <w:right w:w="108" w:type="dxa"/>
            </w:tcMar>
            <w:vAlign w:val="center"/>
          </w:tcPr>
          <w:p w14:paraId="13A27B25">
            <w:pPr>
              <w:spacing w:before="624" w:beforeLines="200" w:line="360" w:lineRule="auto"/>
              <w:contextualSpacing/>
              <w:jc w:val="center"/>
              <w:rPr>
                <w:rFonts w:hint="eastAsia" w:cs="思源黑体 CN Heavy" w:asciiTheme="minorEastAsia" w:hAnsiTheme="minorEastAsia" w:eastAsiaTheme="minorEastAsia"/>
                <w:b/>
                <w:color w:val="EA6000"/>
                <w:sz w:val="21"/>
                <w:szCs w:val="21"/>
                <w:lang w:val="en-US" w:eastAsia="zh-CN"/>
              </w:rPr>
            </w:pPr>
            <w:r>
              <w:rPr>
                <w:rFonts w:hint="eastAsia" w:cs="思源黑体 CN Heavy" w:asciiTheme="minorEastAsia" w:hAnsiTheme="minorEastAsia" w:eastAsiaTheme="minorEastAsia"/>
                <w:b/>
                <w:color w:val="EA6000"/>
                <w:sz w:val="21"/>
                <w:szCs w:val="21"/>
                <w:lang w:val="en-US" w:eastAsia="zh-CN"/>
              </w:rPr>
              <w:t>甲状腺功能</w:t>
            </w:r>
          </w:p>
        </w:tc>
        <w:tc>
          <w:tcPr>
            <w:tcW w:w="7796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B5AF7BB">
            <w:pPr>
              <w:spacing w:before="624" w:beforeLines="200" w:line="360" w:lineRule="auto"/>
              <w:contextualSpacing/>
              <w:jc w:val="center"/>
              <w:rPr>
                <w:rFonts w:hint="eastAsia" w:cs="思源黑体 CN Heavy" w:asciiTheme="minorEastAsia" w:hAnsiTheme="minorEastAsia" w:eastAsiaTheme="minorEastAsia"/>
                <w:b/>
                <w:color w:val="EA6000"/>
                <w:sz w:val="21"/>
                <w:szCs w:val="21"/>
                <w:lang w:val="en-US" w:eastAsia="zh-CN"/>
              </w:rPr>
            </w:pPr>
            <w:r>
              <w:rPr>
                <w:rFonts w:hint="eastAsia" w:cs="思源黑体 CN Heavy" w:asciiTheme="minorEastAsia" w:hAnsiTheme="minorEastAsia" w:eastAsiaTheme="minorEastAsia"/>
                <w:b/>
                <w:color w:val="EA6000"/>
                <w:sz w:val="21"/>
                <w:szCs w:val="21"/>
                <w:lang w:val="en-US" w:eastAsia="zh-CN"/>
              </w:rPr>
              <w:t>T3、T4、TSH</w:t>
            </w:r>
          </w:p>
        </w:tc>
      </w:tr>
      <w:tr w14:paraId="470449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2122" w:type="dxa"/>
            <w:shd w:val="clear" w:color="auto" w:fill="FFFFFF"/>
            <w:noWrap/>
            <w:tcMar>
              <w:left w:w="108" w:type="dxa"/>
              <w:right w:w="108" w:type="dxa"/>
            </w:tcMar>
            <w:vAlign w:val="center"/>
          </w:tcPr>
          <w:p w14:paraId="347F9103">
            <w:pPr>
              <w:spacing w:before="624" w:beforeLines="200" w:line="360" w:lineRule="auto"/>
              <w:contextualSpacing/>
              <w:jc w:val="center"/>
              <w:rPr>
                <w:rFonts w:hint="eastAsia" w:cs="思源黑体 CN Heavy" w:asciiTheme="minorEastAsia" w:hAnsiTheme="minorEastAsia" w:eastAsiaTheme="minorEastAsia"/>
                <w:b/>
                <w:color w:val="EA6000"/>
                <w:sz w:val="21"/>
                <w:szCs w:val="21"/>
                <w:lang w:val="en-US" w:eastAsia="zh-CN"/>
              </w:rPr>
            </w:pPr>
            <w:r>
              <w:rPr>
                <w:rFonts w:hint="eastAsia" w:cs="思源黑体 CN Heavy" w:asciiTheme="minorEastAsia" w:hAnsiTheme="minorEastAsia" w:eastAsiaTheme="minorEastAsia"/>
                <w:b/>
                <w:color w:val="EA6000"/>
                <w:sz w:val="21"/>
                <w:szCs w:val="21"/>
                <w:lang w:val="en-US" w:eastAsia="zh-CN"/>
              </w:rPr>
              <w:t>同型半胱氨酸（Hcy）</w:t>
            </w:r>
          </w:p>
        </w:tc>
        <w:tc>
          <w:tcPr>
            <w:tcW w:w="7796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45A9FEF">
            <w:pPr>
              <w:spacing w:before="624" w:beforeLines="200" w:line="360" w:lineRule="auto"/>
              <w:contextualSpacing/>
              <w:jc w:val="center"/>
              <w:rPr>
                <w:rFonts w:hint="default" w:cs="思源黑体 CN Heavy" w:asciiTheme="minorEastAsia" w:hAnsiTheme="minorEastAsia" w:eastAsiaTheme="minorEastAsia"/>
                <w:b/>
                <w:color w:val="EA6000"/>
                <w:sz w:val="21"/>
                <w:szCs w:val="21"/>
                <w:lang w:val="en-US" w:eastAsia="zh-CN"/>
              </w:rPr>
            </w:pPr>
            <w:r>
              <w:rPr>
                <w:rFonts w:hint="eastAsia" w:cs="思源黑体 CN Heavy" w:asciiTheme="minorEastAsia" w:hAnsiTheme="minorEastAsia" w:eastAsiaTheme="minorEastAsia"/>
                <w:b/>
                <w:color w:val="EA6000"/>
                <w:sz w:val="21"/>
                <w:szCs w:val="21"/>
                <w:lang w:val="en-US" w:eastAsia="zh-CN"/>
              </w:rPr>
              <w:t>同型半胱氨酸(2026新增项目，限南京区域体检教职工)</w:t>
            </w:r>
          </w:p>
        </w:tc>
      </w:tr>
    </w:tbl>
    <w:p w14:paraId="393D0910">
      <w:pPr>
        <w:spacing w:line="360" w:lineRule="auto"/>
        <w:ind w:right="143"/>
        <w:jc w:val="center"/>
        <w:rPr>
          <w:rFonts w:hint="eastAsia" w:ascii="微软雅黑" w:hAnsi="微软雅黑" w:eastAsia="微软雅黑" w:cs="Times New Roman"/>
          <w:sz w:val="30"/>
          <w:szCs w:val="30"/>
          <w:lang w:eastAsia="zh-CN"/>
        </w:rPr>
      </w:pPr>
      <w:r>
        <w:rPr>
          <w:rFonts w:hint="eastAsia" w:ascii="微软雅黑" w:hAnsi="微软雅黑" w:eastAsia="微软雅黑" w:cs="思源黑体 CN Heavy"/>
          <w:b/>
          <w:color w:val="EA6000"/>
          <w:lang w:val="en-US" w:eastAsia="zh-CN"/>
        </w:rPr>
        <w:t>注：表中橙色字体项目为爱康体检独有项目</w:t>
      </w:r>
    </w:p>
    <w:sectPr>
      <w:head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1C478FA-9820-404A-91C7-E4E24945FFD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2C4EB20F-FEBD-4FCE-A205-CEBBB320394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3" w:fontKey="{E9C9E8C8-EE0D-40DD-B75A-06E835D13041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D51B85DE-7FCC-4E8F-840E-A7217F9D26F3}"/>
  </w:font>
  <w:font w:name="幼圆">
    <w:altName w:val="宋体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思源黑体 CN Heavy">
    <w:altName w:val="微软雅黑"/>
    <w:panose1 w:val="00000000000000000000"/>
    <w:charset w:val="86"/>
    <w:family w:val="auto"/>
    <w:pitch w:val="default"/>
    <w:sig w:usb0="00000000" w:usb1="00000000" w:usb2="00000016" w:usb3="00000000" w:csb0="60060107" w:csb1="00000000"/>
    <w:embedRegular r:id="rId5" w:fontKey="{CACDD069-F116-4F25-97B0-259CBD555B9F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1C8FE1">
    <w:pPr>
      <w:pStyle w:val="6"/>
      <w:rPr>
        <w:rFonts w:hint="eastAsia"/>
        <w:lang w:val="en-US" w:eastAsia="zh-CN"/>
      </w:rPr>
    </w:pPr>
    <w:r>
      <w:rPr>
        <w:rFonts w:hint="eastAsi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4404360</wp:posOffset>
          </wp:positionH>
          <wp:positionV relativeFrom="paragraph">
            <wp:posOffset>229235</wp:posOffset>
          </wp:positionV>
          <wp:extent cx="1737360" cy="404495"/>
          <wp:effectExtent l="0" t="0" r="0" b="0"/>
          <wp:wrapNone/>
          <wp:docPr id="1655140587" name="图片 18" descr="集团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5140587" name="图片 18" descr="集团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37360" cy="4043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213360</wp:posOffset>
          </wp:positionH>
          <wp:positionV relativeFrom="paragraph">
            <wp:posOffset>-98425</wp:posOffset>
          </wp:positionV>
          <wp:extent cx="657225" cy="662940"/>
          <wp:effectExtent l="0" t="0" r="9525" b="3810"/>
          <wp:wrapTopAndBottom/>
          <wp:docPr id="841024105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1024105" name="图片 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7225" cy="662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45FC8F"/>
    <w:multiLevelType w:val="singleLevel"/>
    <w:tmpl w:val="C045FC8F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  <w:color w:val="E46C0A" w:themeColor="accent6" w:themeShade="BF"/>
      </w:rPr>
    </w:lvl>
  </w:abstractNum>
  <w:abstractNum w:abstractNumId="1">
    <w:nsid w:val="F2BC6C73"/>
    <w:multiLevelType w:val="singleLevel"/>
    <w:tmpl w:val="F2BC6C73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00000001"/>
    <w:multiLevelType w:val="multilevel"/>
    <w:tmpl w:val="00000001"/>
    <w:lvl w:ilvl="0" w:tentative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00000002"/>
    <w:multiLevelType w:val="multilevel"/>
    <w:tmpl w:val="00000002"/>
    <w:lvl w:ilvl="0" w:tentative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 w:hAnsi="Times New Roman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eastAsia" w:cs="宋体"/>
        <w:color w:val="000000"/>
      </w:rPr>
    </w:lvl>
    <w:lvl w:ilvl="1" w:tentative="0">
      <w:start w:val="1"/>
      <w:numFmt w:val="bullet"/>
      <w:lvlText w:val=""/>
      <w:lvlJc w:val="left"/>
      <w:pPr>
        <w:tabs>
          <w:tab w:val="left" w:pos="600"/>
        </w:tabs>
        <w:ind w:left="600" w:hanging="420"/>
      </w:pPr>
      <w:rPr>
        <w:rFonts w:hint="default" w:ascii="Wingdings" w:hAnsi="Wingdings"/>
        <w:color w:val="000000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5">
    <w:nsid w:val="233DA6D2"/>
    <w:multiLevelType w:val="singleLevel"/>
    <w:tmpl w:val="233DA6D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2DF88076"/>
    <w:multiLevelType w:val="singleLevel"/>
    <w:tmpl w:val="2DF8807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42935339"/>
    <w:multiLevelType w:val="multilevel"/>
    <w:tmpl w:val="42935339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decimal"/>
      <w:lvlText w:val="%2、"/>
      <w:lvlJc w:val="left"/>
      <w:pPr>
        <w:ind w:left="1160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8">
    <w:nsid w:val="529C90BE"/>
    <w:multiLevelType w:val="singleLevel"/>
    <w:tmpl w:val="529C90BE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  <w:color w:val="auto"/>
      </w:rPr>
    </w:lvl>
  </w:abstractNum>
  <w:abstractNum w:abstractNumId="9">
    <w:nsid w:val="5322A95F"/>
    <w:multiLevelType w:val="singleLevel"/>
    <w:tmpl w:val="5322A95F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  <w:color w:val="E46C0A" w:themeColor="accent6" w:themeShade="BF"/>
        <w:sz w:val="24"/>
        <w:szCs w:val="24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9"/>
  </w:num>
  <w:num w:numId="5">
    <w:abstractNumId w:val="6"/>
  </w:num>
  <w:num w:numId="6">
    <w:abstractNumId w:val="8"/>
  </w:num>
  <w:num w:numId="7">
    <w:abstractNumId w:val="5"/>
  </w:num>
  <w:num w:numId="8">
    <w:abstractNumId w:val="2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JiZjQ5Zjc2NDZlMjk1OWIzMTBmYjdmZTk2NDI0YTAifQ=="/>
    <w:docVar w:name="KSO_WPS_MARK_KEY" w:val="29330fcf-a6ac-4674-b56a-a1064aaaa201"/>
  </w:docVars>
  <w:rsids>
    <w:rsidRoot w:val="00F42853"/>
    <w:rsid w:val="00045547"/>
    <w:rsid w:val="000519AD"/>
    <w:rsid w:val="000A5F31"/>
    <w:rsid w:val="000C0924"/>
    <w:rsid w:val="000C6170"/>
    <w:rsid w:val="000C65E9"/>
    <w:rsid w:val="000E71CD"/>
    <w:rsid w:val="001061B7"/>
    <w:rsid w:val="0012422B"/>
    <w:rsid w:val="00133617"/>
    <w:rsid w:val="001922F1"/>
    <w:rsid w:val="001B4AA7"/>
    <w:rsid w:val="001B57DA"/>
    <w:rsid w:val="001D638D"/>
    <w:rsid w:val="001E36EE"/>
    <w:rsid w:val="00217147"/>
    <w:rsid w:val="00224DD8"/>
    <w:rsid w:val="00226D34"/>
    <w:rsid w:val="00236973"/>
    <w:rsid w:val="0024475D"/>
    <w:rsid w:val="00263B49"/>
    <w:rsid w:val="002927C6"/>
    <w:rsid w:val="002E4842"/>
    <w:rsid w:val="0030370E"/>
    <w:rsid w:val="00317BD0"/>
    <w:rsid w:val="0032042B"/>
    <w:rsid w:val="003430B6"/>
    <w:rsid w:val="00347A88"/>
    <w:rsid w:val="003518C6"/>
    <w:rsid w:val="003548FD"/>
    <w:rsid w:val="00377821"/>
    <w:rsid w:val="0039244D"/>
    <w:rsid w:val="003A27FA"/>
    <w:rsid w:val="003B58CD"/>
    <w:rsid w:val="003C1803"/>
    <w:rsid w:val="003D2759"/>
    <w:rsid w:val="003F7BCF"/>
    <w:rsid w:val="00403922"/>
    <w:rsid w:val="00423A6D"/>
    <w:rsid w:val="00425ABC"/>
    <w:rsid w:val="004265D5"/>
    <w:rsid w:val="0044021B"/>
    <w:rsid w:val="0045478D"/>
    <w:rsid w:val="00456EE9"/>
    <w:rsid w:val="00460CF3"/>
    <w:rsid w:val="00483899"/>
    <w:rsid w:val="004953A0"/>
    <w:rsid w:val="004B3651"/>
    <w:rsid w:val="004D6537"/>
    <w:rsid w:val="004E2C20"/>
    <w:rsid w:val="004F0B0A"/>
    <w:rsid w:val="00512EE7"/>
    <w:rsid w:val="005210C6"/>
    <w:rsid w:val="005415D7"/>
    <w:rsid w:val="00547EDE"/>
    <w:rsid w:val="00570BCD"/>
    <w:rsid w:val="00576279"/>
    <w:rsid w:val="00593922"/>
    <w:rsid w:val="005A1844"/>
    <w:rsid w:val="005B45C2"/>
    <w:rsid w:val="005E1D3E"/>
    <w:rsid w:val="005E50C4"/>
    <w:rsid w:val="005F453A"/>
    <w:rsid w:val="005F71BB"/>
    <w:rsid w:val="00602450"/>
    <w:rsid w:val="00644A08"/>
    <w:rsid w:val="00671548"/>
    <w:rsid w:val="00683E61"/>
    <w:rsid w:val="00696F9A"/>
    <w:rsid w:val="00700C28"/>
    <w:rsid w:val="007235DE"/>
    <w:rsid w:val="007327F1"/>
    <w:rsid w:val="007401B5"/>
    <w:rsid w:val="007439F4"/>
    <w:rsid w:val="00743C65"/>
    <w:rsid w:val="00752905"/>
    <w:rsid w:val="007858D6"/>
    <w:rsid w:val="007A312B"/>
    <w:rsid w:val="007B0B16"/>
    <w:rsid w:val="007B1735"/>
    <w:rsid w:val="007B23A8"/>
    <w:rsid w:val="007C6039"/>
    <w:rsid w:val="007F0DDF"/>
    <w:rsid w:val="00815E30"/>
    <w:rsid w:val="00821697"/>
    <w:rsid w:val="00836820"/>
    <w:rsid w:val="00877CA2"/>
    <w:rsid w:val="00896DF7"/>
    <w:rsid w:val="008B55B1"/>
    <w:rsid w:val="008E5957"/>
    <w:rsid w:val="009052DE"/>
    <w:rsid w:val="00932385"/>
    <w:rsid w:val="00934196"/>
    <w:rsid w:val="0094320E"/>
    <w:rsid w:val="00946685"/>
    <w:rsid w:val="00980CC9"/>
    <w:rsid w:val="00997730"/>
    <w:rsid w:val="009E30D7"/>
    <w:rsid w:val="00A04DFE"/>
    <w:rsid w:val="00AA7E65"/>
    <w:rsid w:val="00AB4E31"/>
    <w:rsid w:val="00AC2955"/>
    <w:rsid w:val="00AC3741"/>
    <w:rsid w:val="00AD2FB6"/>
    <w:rsid w:val="00AD5171"/>
    <w:rsid w:val="00AE2D4E"/>
    <w:rsid w:val="00B14BC0"/>
    <w:rsid w:val="00B2114C"/>
    <w:rsid w:val="00B243BB"/>
    <w:rsid w:val="00B30194"/>
    <w:rsid w:val="00B41878"/>
    <w:rsid w:val="00B52ECB"/>
    <w:rsid w:val="00B538E3"/>
    <w:rsid w:val="00B5756E"/>
    <w:rsid w:val="00B86FC8"/>
    <w:rsid w:val="00B934BC"/>
    <w:rsid w:val="00BC6962"/>
    <w:rsid w:val="00BD6485"/>
    <w:rsid w:val="00BE755A"/>
    <w:rsid w:val="00C34097"/>
    <w:rsid w:val="00C4058E"/>
    <w:rsid w:val="00C814C5"/>
    <w:rsid w:val="00CD4D31"/>
    <w:rsid w:val="00D02A11"/>
    <w:rsid w:val="00D12F20"/>
    <w:rsid w:val="00D22C0D"/>
    <w:rsid w:val="00D30328"/>
    <w:rsid w:val="00D34E16"/>
    <w:rsid w:val="00D770BC"/>
    <w:rsid w:val="00D85849"/>
    <w:rsid w:val="00D90120"/>
    <w:rsid w:val="00D958EE"/>
    <w:rsid w:val="00DA4AF4"/>
    <w:rsid w:val="00DB263E"/>
    <w:rsid w:val="00DB67C4"/>
    <w:rsid w:val="00DD027D"/>
    <w:rsid w:val="00DD450F"/>
    <w:rsid w:val="00DD5300"/>
    <w:rsid w:val="00DE37C6"/>
    <w:rsid w:val="00DE7E0C"/>
    <w:rsid w:val="00DF7033"/>
    <w:rsid w:val="00E05538"/>
    <w:rsid w:val="00E54298"/>
    <w:rsid w:val="00E6201F"/>
    <w:rsid w:val="00E73255"/>
    <w:rsid w:val="00E97E04"/>
    <w:rsid w:val="00ED31B3"/>
    <w:rsid w:val="00EF493C"/>
    <w:rsid w:val="00F00F5E"/>
    <w:rsid w:val="00F04D0C"/>
    <w:rsid w:val="00F30D7F"/>
    <w:rsid w:val="00F4094E"/>
    <w:rsid w:val="00F42853"/>
    <w:rsid w:val="00F63A89"/>
    <w:rsid w:val="00FD35AA"/>
    <w:rsid w:val="00FE5FD5"/>
    <w:rsid w:val="01DB6007"/>
    <w:rsid w:val="01F5169F"/>
    <w:rsid w:val="02873BB9"/>
    <w:rsid w:val="02C62933"/>
    <w:rsid w:val="02DF57A3"/>
    <w:rsid w:val="036363D4"/>
    <w:rsid w:val="040B4F06"/>
    <w:rsid w:val="049820AD"/>
    <w:rsid w:val="04D340DE"/>
    <w:rsid w:val="06640499"/>
    <w:rsid w:val="069D1BFD"/>
    <w:rsid w:val="074B3818"/>
    <w:rsid w:val="07950B26"/>
    <w:rsid w:val="07B74F40"/>
    <w:rsid w:val="08E91129"/>
    <w:rsid w:val="096F2858"/>
    <w:rsid w:val="09831C78"/>
    <w:rsid w:val="0A5C75F1"/>
    <w:rsid w:val="0B3A5C6C"/>
    <w:rsid w:val="0B971310"/>
    <w:rsid w:val="0C3618C3"/>
    <w:rsid w:val="0C923886"/>
    <w:rsid w:val="0CB87258"/>
    <w:rsid w:val="0CF12DCE"/>
    <w:rsid w:val="0D781D9C"/>
    <w:rsid w:val="0DA72138"/>
    <w:rsid w:val="0EA77ABC"/>
    <w:rsid w:val="0F000F7B"/>
    <w:rsid w:val="10AA179B"/>
    <w:rsid w:val="115B1273"/>
    <w:rsid w:val="120945EA"/>
    <w:rsid w:val="12331667"/>
    <w:rsid w:val="138008DC"/>
    <w:rsid w:val="13BF7656"/>
    <w:rsid w:val="13EC7D20"/>
    <w:rsid w:val="14327E28"/>
    <w:rsid w:val="14942891"/>
    <w:rsid w:val="149A59CD"/>
    <w:rsid w:val="14A4045C"/>
    <w:rsid w:val="15EC15D1"/>
    <w:rsid w:val="16756754"/>
    <w:rsid w:val="17B7074A"/>
    <w:rsid w:val="17B82678"/>
    <w:rsid w:val="186B3909"/>
    <w:rsid w:val="19AE6F11"/>
    <w:rsid w:val="1A226249"/>
    <w:rsid w:val="1BAF0CD9"/>
    <w:rsid w:val="1BE063BC"/>
    <w:rsid w:val="1CF0262F"/>
    <w:rsid w:val="1D1632F3"/>
    <w:rsid w:val="1D857FC1"/>
    <w:rsid w:val="1DBA2C3C"/>
    <w:rsid w:val="1DFE0E93"/>
    <w:rsid w:val="1E4E1D03"/>
    <w:rsid w:val="1E822270"/>
    <w:rsid w:val="1FF8773E"/>
    <w:rsid w:val="202B1BD0"/>
    <w:rsid w:val="20631369"/>
    <w:rsid w:val="20B971DB"/>
    <w:rsid w:val="22CF12B1"/>
    <w:rsid w:val="23DB1C0A"/>
    <w:rsid w:val="24CD2D93"/>
    <w:rsid w:val="25054131"/>
    <w:rsid w:val="254479BB"/>
    <w:rsid w:val="25DC5D6A"/>
    <w:rsid w:val="265A42A9"/>
    <w:rsid w:val="271D04C4"/>
    <w:rsid w:val="27CB63C1"/>
    <w:rsid w:val="27E96E49"/>
    <w:rsid w:val="2827288F"/>
    <w:rsid w:val="296F4293"/>
    <w:rsid w:val="29AA1DB7"/>
    <w:rsid w:val="29C2381E"/>
    <w:rsid w:val="2A2C6C70"/>
    <w:rsid w:val="2A3049B2"/>
    <w:rsid w:val="2A7E77AA"/>
    <w:rsid w:val="2B0E14FC"/>
    <w:rsid w:val="2B4C581C"/>
    <w:rsid w:val="2BB4098E"/>
    <w:rsid w:val="2BFC0FF0"/>
    <w:rsid w:val="2C2440A3"/>
    <w:rsid w:val="2C932FD6"/>
    <w:rsid w:val="2C9D76B6"/>
    <w:rsid w:val="2DC23B73"/>
    <w:rsid w:val="2E5C7874"/>
    <w:rsid w:val="2ED973C6"/>
    <w:rsid w:val="2F7F6BF3"/>
    <w:rsid w:val="2FF81546"/>
    <w:rsid w:val="30550CCF"/>
    <w:rsid w:val="30FA3624"/>
    <w:rsid w:val="319D3B15"/>
    <w:rsid w:val="31C14142"/>
    <w:rsid w:val="32926BB4"/>
    <w:rsid w:val="33997663"/>
    <w:rsid w:val="340A09C8"/>
    <w:rsid w:val="34FD1935"/>
    <w:rsid w:val="3578720D"/>
    <w:rsid w:val="366E4EA6"/>
    <w:rsid w:val="371B1F99"/>
    <w:rsid w:val="37EE7818"/>
    <w:rsid w:val="38A345A1"/>
    <w:rsid w:val="38EB3928"/>
    <w:rsid w:val="38FB43DD"/>
    <w:rsid w:val="391D2B4B"/>
    <w:rsid w:val="399860D0"/>
    <w:rsid w:val="3BCD02B3"/>
    <w:rsid w:val="3C137C90"/>
    <w:rsid w:val="3C502C92"/>
    <w:rsid w:val="3C504A40"/>
    <w:rsid w:val="3C8D7A42"/>
    <w:rsid w:val="3D99065E"/>
    <w:rsid w:val="3DE5658D"/>
    <w:rsid w:val="3E4A327C"/>
    <w:rsid w:val="3E4D1237"/>
    <w:rsid w:val="3E4D5948"/>
    <w:rsid w:val="3FCC262F"/>
    <w:rsid w:val="401C2680"/>
    <w:rsid w:val="406F3C61"/>
    <w:rsid w:val="407468AD"/>
    <w:rsid w:val="40941FC1"/>
    <w:rsid w:val="40C61775"/>
    <w:rsid w:val="40CF284C"/>
    <w:rsid w:val="40E57E4D"/>
    <w:rsid w:val="41566655"/>
    <w:rsid w:val="415D3E87"/>
    <w:rsid w:val="418C651A"/>
    <w:rsid w:val="430622FC"/>
    <w:rsid w:val="43877E89"/>
    <w:rsid w:val="43B9736F"/>
    <w:rsid w:val="43E12304"/>
    <w:rsid w:val="451B42BA"/>
    <w:rsid w:val="458D79A0"/>
    <w:rsid w:val="48403BBB"/>
    <w:rsid w:val="49261002"/>
    <w:rsid w:val="494D1980"/>
    <w:rsid w:val="49B51C43"/>
    <w:rsid w:val="4A5E1AE4"/>
    <w:rsid w:val="4AC9145A"/>
    <w:rsid w:val="4B9D4996"/>
    <w:rsid w:val="4C000C42"/>
    <w:rsid w:val="4C6D6F48"/>
    <w:rsid w:val="4C96024D"/>
    <w:rsid w:val="4E0C58DD"/>
    <w:rsid w:val="4EE72FE2"/>
    <w:rsid w:val="4F195165"/>
    <w:rsid w:val="50275F04"/>
    <w:rsid w:val="50E12FE7"/>
    <w:rsid w:val="52B4214C"/>
    <w:rsid w:val="53837051"/>
    <w:rsid w:val="53AF7C8B"/>
    <w:rsid w:val="54646E83"/>
    <w:rsid w:val="55DC05B3"/>
    <w:rsid w:val="55DC6161"/>
    <w:rsid w:val="579637F7"/>
    <w:rsid w:val="57BE4AFC"/>
    <w:rsid w:val="58C7320C"/>
    <w:rsid w:val="590145FA"/>
    <w:rsid w:val="5A1966F4"/>
    <w:rsid w:val="5BD92AD9"/>
    <w:rsid w:val="5C1D44E7"/>
    <w:rsid w:val="5C270EC2"/>
    <w:rsid w:val="5C414CEA"/>
    <w:rsid w:val="5C702869"/>
    <w:rsid w:val="5C806824"/>
    <w:rsid w:val="5D101956"/>
    <w:rsid w:val="5DEA4EF4"/>
    <w:rsid w:val="5E394EDC"/>
    <w:rsid w:val="5E5937C0"/>
    <w:rsid w:val="5E60690D"/>
    <w:rsid w:val="5EB22EA0"/>
    <w:rsid w:val="5FDF5717"/>
    <w:rsid w:val="61215109"/>
    <w:rsid w:val="613D1F5B"/>
    <w:rsid w:val="615472BD"/>
    <w:rsid w:val="61A134C4"/>
    <w:rsid w:val="62021E91"/>
    <w:rsid w:val="6275772C"/>
    <w:rsid w:val="629923ED"/>
    <w:rsid w:val="62E371DA"/>
    <w:rsid w:val="6535464F"/>
    <w:rsid w:val="656A1E1F"/>
    <w:rsid w:val="65C14D81"/>
    <w:rsid w:val="65EC32C5"/>
    <w:rsid w:val="65FD3B21"/>
    <w:rsid w:val="6655487D"/>
    <w:rsid w:val="66B7AFE6"/>
    <w:rsid w:val="670646DE"/>
    <w:rsid w:val="67610CEF"/>
    <w:rsid w:val="679611AF"/>
    <w:rsid w:val="67A92E77"/>
    <w:rsid w:val="67F0485E"/>
    <w:rsid w:val="682D5AB2"/>
    <w:rsid w:val="68FE11FC"/>
    <w:rsid w:val="69676DA1"/>
    <w:rsid w:val="699A597D"/>
    <w:rsid w:val="6AFE0B89"/>
    <w:rsid w:val="6B0F67D1"/>
    <w:rsid w:val="6B785296"/>
    <w:rsid w:val="6BC404DB"/>
    <w:rsid w:val="6D54588F"/>
    <w:rsid w:val="6E3D6323"/>
    <w:rsid w:val="6E7D0E15"/>
    <w:rsid w:val="6E987306"/>
    <w:rsid w:val="6F712728"/>
    <w:rsid w:val="6F72024E"/>
    <w:rsid w:val="6FB61483"/>
    <w:rsid w:val="6FFC2A0A"/>
    <w:rsid w:val="70695A07"/>
    <w:rsid w:val="7177214E"/>
    <w:rsid w:val="719D227F"/>
    <w:rsid w:val="71F65166"/>
    <w:rsid w:val="733777E5"/>
    <w:rsid w:val="733B5D6D"/>
    <w:rsid w:val="743326A2"/>
    <w:rsid w:val="74985826"/>
    <w:rsid w:val="74AE1D28"/>
    <w:rsid w:val="76805946"/>
    <w:rsid w:val="770F1502"/>
    <w:rsid w:val="77A91AE1"/>
    <w:rsid w:val="77CB2BF1"/>
    <w:rsid w:val="79173721"/>
    <w:rsid w:val="79A56C22"/>
    <w:rsid w:val="79BB3192"/>
    <w:rsid w:val="79D13149"/>
    <w:rsid w:val="7A290AB6"/>
    <w:rsid w:val="7AA8721A"/>
    <w:rsid w:val="7B116306"/>
    <w:rsid w:val="7B427302"/>
    <w:rsid w:val="7B6B4E8E"/>
    <w:rsid w:val="7BE91898"/>
    <w:rsid w:val="7BF5DBF9"/>
    <w:rsid w:val="7D5C7887"/>
    <w:rsid w:val="7DBC8D85"/>
    <w:rsid w:val="7DE67D76"/>
    <w:rsid w:val="7E097FCF"/>
    <w:rsid w:val="7E0B0709"/>
    <w:rsid w:val="7EF26CB5"/>
    <w:rsid w:val="7F806779"/>
    <w:rsid w:val="7F9DA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等线" w:hAnsi="等线" w:eastAsia="等线" w:cs="宋体"/>
      <w:sz w:val="24"/>
      <w:szCs w:val="24"/>
      <w:lang w:val="zh-CN" w:eastAsia="en-US" w:bidi="ar-SA"/>
    </w:rPr>
  </w:style>
  <w:style w:type="paragraph" w:styleId="2">
    <w:name w:val="heading 2"/>
    <w:basedOn w:val="1"/>
    <w:next w:val="1"/>
    <w:link w:val="15"/>
    <w:qFormat/>
    <w:uiPriority w:val="0"/>
    <w:pPr>
      <w:keepNext/>
      <w:keepLines/>
      <w:widowControl w:val="0"/>
      <w:spacing w:before="260" w:after="260" w:line="416" w:lineRule="auto"/>
      <w:jc w:val="both"/>
      <w:outlineLvl w:val="1"/>
    </w:pPr>
    <w:rPr>
      <w:rFonts w:ascii="Arial" w:hAnsi="Arial" w:eastAsia="黑体" w:cs="Times New Roman"/>
      <w:b/>
      <w:bCs/>
      <w:kern w:val="2"/>
      <w:sz w:val="32"/>
      <w:szCs w:val="32"/>
      <w:lang w:val="en-US" w:eastAsia="zh-CN"/>
    </w:rPr>
  </w:style>
  <w:style w:type="paragraph" w:styleId="3">
    <w:name w:val="heading 3"/>
    <w:basedOn w:val="1"/>
    <w:next w:val="1"/>
    <w:link w:val="19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8"/>
    <w:autoRedefine/>
    <w:qFormat/>
    <w:uiPriority w:val="0"/>
    <w:rPr>
      <w:sz w:val="18"/>
      <w:szCs w:val="18"/>
    </w:rPr>
  </w:style>
  <w:style w:type="paragraph" w:styleId="5">
    <w:name w:val="footer"/>
    <w:basedOn w:val="1"/>
    <w:link w:val="17"/>
    <w:autoRedefine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6"/>
    <w:autoRedefine/>
    <w:qFormat/>
    <w:uiPriority w:val="99"/>
    <w:pPr>
      <w:tabs>
        <w:tab w:val="center" w:pos="4153"/>
        <w:tab w:val="right" w:pos="8306"/>
      </w:tabs>
      <w:snapToGrid w:val="0"/>
      <w:spacing w:line="120" w:lineRule="exact"/>
    </w:pPr>
    <w:rPr>
      <w:sz w:val="18"/>
      <w:szCs w:val="18"/>
    </w:rPr>
  </w:style>
  <w:style w:type="table" w:styleId="8">
    <w:name w:val="Table Grid"/>
    <w:basedOn w:val="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autoRedefine/>
    <w:qFormat/>
    <w:uiPriority w:val="99"/>
    <w:rPr>
      <w:color w:val="0563C1"/>
      <w:u w:val="single"/>
    </w:rPr>
  </w:style>
  <w:style w:type="paragraph" w:customStyle="1" w:styleId="11">
    <w:name w:val="BodyText1I"/>
    <w:basedOn w:val="12"/>
    <w:autoRedefine/>
    <w:qFormat/>
    <w:uiPriority w:val="0"/>
    <w:pPr>
      <w:ind w:left="240" w:leftChars="100" w:firstLine="220" w:firstLineChars="100"/>
    </w:pPr>
    <w:rPr>
      <w:rFonts w:ascii="微软雅黑" w:hAnsi="微软雅黑" w:eastAsia="微软雅黑" w:cs="Wingdings"/>
      <w:b/>
      <w:bCs/>
      <w:color w:val="EA6000"/>
      <w:sz w:val="22"/>
      <w:lang w:eastAsia="zh-CN"/>
    </w:rPr>
  </w:style>
  <w:style w:type="paragraph" w:customStyle="1" w:styleId="12">
    <w:name w:val="BodyText"/>
    <w:basedOn w:val="1"/>
    <w:next w:val="1"/>
    <w:autoRedefine/>
    <w:qFormat/>
    <w:uiPriority w:val="0"/>
    <w:pPr>
      <w:spacing w:before="36"/>
      <w:ind w:left="120"/>
      <w:jc w:val="both"/>
      <w:textAlignment w:val="baseline"/>
    </w:pPr>
    <w:rPr>
      <w:rFonts w:hAnsi="宋体"/>
      <w:kern w:val="2"/>
    </w:rPr>
  </w:style>
  <w:style w:type="character" w:customStyle="1" w:styleId="13">
    <w:name w:val="未处理的提及1"/>
    <w:basedOn w:val="9"/>
    <w:autoRedefine/>
    <w:qFormat/>
    <w:uiPriority w:val="99"/>
    <w:rPr>
      <w:color w:val="605E5C"/>
      <w:shd w:val="clear" w:color="auto" w:fill="E1DFDD"/>
    </w:rPr>
  </w:style>
  <w:style w:type="paragraph" w:styleId="14">
    <w:name w:val="List Paragraph"/>
    <w:basedOn w:val="1"/>
    <w:autoRedefine/>
    <w:qFormat/>
    <w:uiPriority w:val="34"/>
    <w:pPr>
      <w:widowControl w:val="0"/>
      <w:ind w:firstLine="200" w:firstLineChars="200"/>
      <w:jc w:val="both"/>
    </w:pPr>
    <w:rPr>
      <w:rFonts w:ascii="幼圆" w:hAnsi="宋体" w:eastAsia="幼圆"/>
      <w:kern w:val="2"/>
      <w:sz w:val="21"/>
      <w:szCs w:val="22"/>
      <w:lang w:val="en-US" w:eastAsia="zh-CN"/>
    </w:rPr>
  </w:style>
  <w:style w:type="character" w:customStyle="1" w:styleId="15">
    <w:name w:val="标题 2 字符"/>
    <w:basedOn w:val="9"/>
    <w:link w:val="2"/>
    <w:autoRedefine/>
    <w:qFormat/>
    <w:uiPriority w:val="0"/>
    <w:rPr>
      <w:rFonts w:ascii="Arial" w:hAnsi="Arial" w:eastAsia="黑体" w:cs="Times New Roman"/>
      <w:b/>
      <w:bCs/>
      <w:sz w:val="32"/>
      <w:szCs w:val="32"/>
    </w:rPr>
  </w:style>
  <w:style w:type="character" w:customStyle="1" w:styleId="16">
    <w:name w:val="页眉 字符"/>
    <w:basedOn w:val="9"/>
    <w:link w:val="6"/>
    <w:autoRedefine/>
    <w:qFormat/>
    <w:uiPriority w:val="99"/>
    <w:rPr>
      <w:rFonts w:ascii="等线" w:hAnsi="等线" w:eastAsia="等线" w:cs="宋体"/>
      <w:sz w:val="18"/>
      <w:szCs w:val="18"/>
      <w:lang w:val="zh-CN" w:eastAsia="en-US"/>
    </w:rPr>
  </w:style>
  <w:style w:type="character" w:customStyle="1" w:styleId="17">
    <w:name w:val="页脚 字符"/>
    <w:basedOn w:val="9"/>
    <w:link w:val="5"/>
    <w:autoRedefine/>
    <w:qFormat/>
    <w:uiPriority w:val="99"/>
    <w:rPr>
      <w:kern w:val="0"/>
      <w:sz w:val="18"/>
      <w:szCs w:val="18"/>
      <w:lang w:val="zh-CN" w:eastAsia="en-US"/>
    </w:rPr>
  </w:style>
  <w:style w:type="character" w:customStyle="1" w:styleId="18">
    <w:name w:val="批注框文本 字符"/>
    <w:basedOn w:val="9"/>
    <w:link w:val="4"/>
    <w:autoRedefine/>
    <w:qFormat/>
    <w:uiPriority w:val="0"/>
    <w:rPr>
      <w:sz w:val="18"/>
      <w:szCs w:val="18"/>
      <w:lang w:val="zh-CN" w:eastAsia="en-US"/>
    </w:rPr>
  </w:style>
  <w:style w:type="character" w:customStyle="1" w:styleId="19">
    <w:name w:val="标题 3 字符"/>
    <w:basedOn w:val="9"/>
    <w:link w:val="3"/>
    <w:autoRedefine/>
    <w:qFormat/>
    <w:uiPriority w:val="0"/>
    <w:rPr>
      <w:rFonts w:ascii="等线" w:hAnsi="等线" w:eastAsia="等线" w:cs="宋体"/>
      <w:b/>
      <w:bCs/>
      <w:sz w:val="32"/>
      <w:szCs w:val="32"/>
      <w:lang w:val="zh-CN"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5.jpe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2BBD23B-05BC-494B-AD68-67E97D3623A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2470</Words>
  <Characters>2736</Characters>
  <Lines>108</Lines>
  <Paragraphs>151</Paragraphs>
  <TotalTime>18</TotalTime>
  <ScaleCrop>false</ScaleCrop>
  <LinksUpToDate>false</LinksUpToDate>
  <CharactersWithSpaces>2743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2026-04-17T08:31:00Z</dcterms:created>
  <dc:creator>Xing Yanan</dc:creator>
  <cp:lastModifiedBy>贺晓虎</cp:lastModifiedBy>
  <cp:lastPrinted>2024-05-27T06:56:00Z</cp:lastPrinted>
  <dcterms:modified xsi:type="dcterms:W3CDTF">2026-04-22T02:56:54Z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27632331F3C34EF1BF49AD995B1C3D37_13</vt:lpwstr>
  </property>
  <property fmtid="{D5CDD505-2E9C-101B-9397-08002B2CF9AE}" pid="3" name="KSOProductBuildVer">
    <vt:lpwstr>2052-12.1.0.25225</vt:lpwstr>
  </property>
  <property fmtid="{D5CDD505-2E9C-101B-9397-08002B2CF9AE}" pid="4" name="KSOTemplateDocerSaveRecord">
    <vt:lpwstr>eyJoZGlkIjoiNDhmMzc4MjlhM2ExYjEyZTU4YTRmOWE3MjIyOGE0YTkiLCJ1c2VySWQiOiI0NDYzODEwNzYifQ==</vt:lpwstr>
  </property>
</Properties>
</file>